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AFB84" w14:textId="77777777" w:rsidR="00FC29A9" w:rsidRDefault="00FC29A9" w:rsidP="00846321">
      <w:pPr>
        <w:pStyle w:val="Heading2"/>
        <w:spacing w:before="130"/>
        <w:ind w:left="101"/>
        <w:rPr>
          <w:color w:val="005EB8"/>
        </w:rPr>
      </w:pPr>
    </w:p>
    <w:p w14:paraId="2A997563" w14:textId="74CDEF87" w:rsidR="00846321" w:rsidRDefault="00846321" w:rsidP="00846321">
      <w:pPr>
        <w:pStyle w:val="Heading2"/>
        <w:spacing w:before="130"/>
        <w:ind w:left="101"/>
      </w:pPr>
      <w:r>
        <w:rPr>
          <w:color w:val="005EB8"/>
        </w:rPr>
        <w:t>Joint</w:t>
      </w:r>
      <w:r>
        <w:rPr>
          <w:color w:val="005EB8"/>
          <w:spacing w:val="-4"/>
        </w:rPr>
        <w:t xml:space="preserve"> </w:t>
      </w:r>
      <w:r>
        <w:rPr>
          <w:color w:val="005EB8"/>
        </w:rPr>
        <w:t>capital</w:t>
      </w:r>
      <w:r>
        <w:rPr>
          <w:color w:val="005EB8"/>
          <w:spacing w:val="-4"/>
        </w:rPr>
        <w:t xml:space="preserve"> </w:t>
      </w:r>
      <w:r>
        <w:rPr>
          <w:color w:val="005EB8"/>
        </w:rPr>
        <w:t>resource</w:t>
      </w:r>
      <w:r>
        <w:rPr>
          <w:color w:val="005EB8"/>
          <w:spacing w:val="-4"/>
        </w:rPr>
        <w:t xml:space="preserve"> </w:t>
      </w:r>
      <w:r>
        <w:rPr>
          <w:color w:val="005EB8"/>
        </w:rPr>
        <w:t>use</w:t>
      </w:r>
      <w:r>
        <w:rPr>
          <w:color w:val="005EB8"/>
          <w:spacing w:val="-3"/>
        </w:rPr>
        <w:t xml:space="preserve"> </w:t>
      </w:r>
      <w:r>
        <w:rPr>
          <w:color w:val="005EB8"/>
        </w:rPr>
        <w:t>plan</w:t>
      </w:r>
      <w:r>
        <w:rPr>
          <w:color w:val="005EB8"/>
          <w:spacing w:val="-5"/>
        </w:rPr>
        <w:t xml:space="preserve"> </w:t>
      </w:r>
      <w:r>
        <w:rPr>
          <w:color w:val="005EB8"/>
        </w:rPr>
        <w:t>2024/25</w:t>
      </w:r>
    </w:p>
    <w:p w14:paraId="5C392E08" w14:textId="77777777" w:rsidR="00846321" w:rsidRDefault="00846321" w:rsidP="00846321">
      <w:pPr>
        <w:pStyle w:val="BodyText"/>
        <w:spacing w:before="8"/>
        <w:rPr>
          <w:sz w:val="16"/>
        </w:rPr>
      </w:pPr>
    </w:p>
    <w:tbl>
      <w:tblPr>
        <w:tblW w:w="0" w:type="auto"/>
        <w:tblInd w:w="11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973"/>
        <w:gridCol w:w="6380"/>
      </w:tblGrid>
      <w:tr w:rsidR="00846321" w14:paraId="392E881F" w14:textId="77777777" w:rsidTr="007A3339">
        <w:trPr>
          <w:trHeight w:val="640"/>
        </w:trPr>
        <w:tc>
          <w:tcPr>
            <w:tcW w:w="2973" w:type="dxa"/>
            <w:shd w:val="clear" w:color="auto" w:fill="006FC0"/>
          </w:tcPr>
          <w:p w14:paraId="18A7C54C" w14:textId="77777777" w:rsidR="00846321" w:rsidRDefault="00846321" w:rsidP="007A3339">
            <w:pPr>
              <w:pStyle w:val="TableParagraph"/>
              <w:spacing w:before="85"/>
              <w:rPr>
                <w:b/>
                <w:sz w:val="24"/>
              </w:rPr>
            </w:pPr>
            <w:r>
              <w:rPr>
                <w:b/>
                <w:color w:val="FFFFFF"/>
                <w:spacing w:val="-2"/>
                <w:sz w:val="24"/>
              </w:rPr>
              <w:t>Region</w:t>
            </w:r>
          </w:p>
        </w:tc>
        <w:tc>
          <w:tcPr>
            <w:tcW w:w="6380" w:type="dxa"/>
          </w:tcPr>
          <w:p w14:paraId="7748A6A9" w14:textId="7ACECA4A" w:rsidR="00846321" w:rsidRPr="00433901" w:rsidRDefault="002962B0" w:rsidP="007A3339">
            <w:pPr>
              <w:pStyle w:val="TableParagraph"/>
              <w:spacing w:before="85"/>
              <w:ind w:left="0"/>
              <w:rPr>
                <w:sz w:val="24"/>
                <w:szCs w:val="24"/>
              </w:rPr>
            </w:pPr>
            <w:r>
              <w:rPr>
                <w:sz w:val="24"/>
                <w:szCs w:val="24"/>
              </w:rPr>
              <w:t xml:space="preserve">Midlands </w:t>
            </w:r>
          </w:p>
        </w:tc>
      </w:tr>
      <w:tr w:rsidR="00846321" w14:paraId="4C5CD08A" w14:textId="77777777" w:rsidTr="007A3339">
        <w:trPr>
          <w:trHeight w:val="640"/>
        </w:trPr>
        <w:tc>
          <w:tcPr>
            <w:tcW w:w="2973" w:type="dxa"/>
            <w:shd w:val="clear" w:color="auto" w:fill="006FC0"/>
          </w:tcPr>
          <w:p w14:paraId="4928E84D" w14:textId="77777777" w:rsidR="00846321" w:rsidRDefault="00846321" w:rsidP="007A3339">
            <w:pPr>
              <w:pStyle w:val="TableParagraph"/>
              <w:spacing w:before="84"/>
              <w:rPr>
                <w:b/>
                <w:sz w:val="24"/>
              </w:rPr>
            </w:pPr>
            <w:r>
              <w:rPr>
                <w:b/>
                <w:color w:val="FFFFFF"/>
                <w:sz w:val="24"/>
              </w:rPr>
              <w:t>ICB</w:t>
            </w:r>
            <w:r>
              <w:rPr>
                <w:b/>
                <w:color w:val="FFFFFF"/>
                <w:spacing w:val="-2"/>
                <w:sz w:val="24"/>
              </w:rPr>
              <w:t xml:space="preserve"> </w:t>
            </w:r>
            <w:r>
              <w:rPr>
                <w:b/>
                <w:color w:val="FFFFFF"/>
                <w:sz w:val="24"/>
              </w:rPr>
              <w:t xml:space="preserve">/ </w:t>
            </w:r>
            <w:r>
              <w:rPr>
                <w:b/>
                <w:color w:val="FFFFFF"/>
                <w:spacing w:val="-2"/>
                <w:sz w:val="24"/>
              </w:rPr>
              <w:t>System</w:t>
            </w:r>
          </w:p>
        </w:tc>
        <w:tc>
          <w:tcPr>
            <w:tcW w:w="6380" w:type="dxa"/>
          </w:tcPr>
          <w:p w14:paraId="4164A00C" w14:textId="432A306D" w:rsidR="00846321" w:rsidRPr="00433901" w:rsidRDefault="00511208" w:rsidP="007A3339">
            <w:pPr>
              <w:pStyle w:val="TableParagraph"/>
              <w:ind w:left="0"/>
              <w:rPr>
                <w:sz w:val="24"/>
                <w:szCs w:val="24"/>
              </w:rPr>
            </w:pPr>
            <w:r>
              <w:rPr>
                <w:sz w:val="24"/>
                <w:szCs w:val="24"/>
              </w:rPr>
              <w:t xml:space="preserve">NHS </w:t>
            </w:r>
            <w:r w:rsidR="002962B0">
              <w:rPr>
                <w:sz w:val="24"/>
                <w:szCs w:val="24"/>
              </w:rPr>
              <w:t>Derby and Derbyshire</w:t>
            </w:r>
            <w:r w:rsidR="00846321" w:rsidRPr="00433901">
              <w:rPr>
                <w:sz w:val="24"/>
                <w:szCs w:val="24"/>
              </w:rPr>
              <w:t xml:space="preserve"> Integrated Care Board (ICB)</w:t>
            </w:r>
          </w:p>
        </w:tc>
      </w:tr>
      <w:tr w:rsidR="00846321" w14:paraId="56012E94" w14:textId="77777777" w:rsidTr="007A3339">
        <w:trPr>
          <w:trHeight w:val="639"/>
        </w:trPr>
        <w:tc>
          <w:tcPr>
            <w:tcW w:w="2973" w:type="dxa"/>
            <w:shd w:val="clear" w:color="auto" w:fill="006FC0"/>
          </w:tcPr>
          <w:p w14:paraId="1FB9125B" w14:textId="77777777" w:rsidR="00846321" w:rsidRDefault="00846321" w:rsidP="007A3339">
            <w:pPr>
              <w:pStyle w:val="TableParagraph"/>
              <w:spacing w:before="84"/>
              <w:rPr>
                <w:b/>
                <w:sz w:val="24"/>
              </w:rPr>
            </w:pPr>
            <w:r>
              <w:rPr>
                <w:b/>
                <w:color w:val="FFFFFF"/>
                <w:sz w:val="24"/>
              </w:rPr>
              <w:t>Date</w:t>
            </w:r>
            <w:r>
              <w:rPr>
                <w:b/>
                <w:color w:val="FFFFFF"/>
                <w:spacing w:val="-7"/>
                <w:sz w:val="24"/>
              </w:rPr>
              <w:t xml:space="preserve"> </w:t>
            </w:r>
            <w:r>
              <w:rPr>
                <w:b/>
                <w:color w:val="FFFFFF"/>
                <w:spacing w:val="-2"/>
                <w:sz w:val="24"/>
              </w:rPr>
              <w:t>published</w:t>
            </w:r>
          </w:p>
        </w:tc>
        <w:tc>
          <w:tcPr>
            <w:tcW w:w="6380" w:type="dxa"/>
          </w:tcPr>
          <w:p w14:paraId="1A01E6D5" w14:textId="7BC7FB08" w:rsidR="00846321" w:rsidRPr="00433901" w:rsidRDefault="007F4869" w:rsidP="007A3339">
            <w:pPr>
              <w:pStyle w:val="TableParagraph"/>
              <w:ind w:left="0"/>
              <w:rPr>
                <w:sz w:val="24"/>
                <w:szCs w:val="24"/>
              </w:rPr>
            </w:pPr>
            <w:r>
              <w:rPr>
                <w:sz w:val="24"/>
                <w:szCs w:val="24"/>
              </w:rPr>
              <w:t>17</w:t>
            </w:r>
            <w:r w:rsidRPr="007F4869">
              <w:rPr>
                <w:sz w:val="24"/>
                <w:szCs w:val="24"/>
                <w:vertAlign w:val="superscript"/>
              </w:rPr>
              <w:t>th</w:t>
            </w:r>
            <w:r>
              <w:rPr>
                <w:sz w:val="24"/>
                <w:szCs w:val="24"/>
              </w:rPr>
              <w:t xml:space="preserve"> September 2024</w:t>
            </w:r>
          </w:p>
        </w:tc>
      </w:tr>
      <w:tr w:rsidR="00846321" w14:paraId="779A688A" w14:textId="77777777" w:rsidTr="007A3339">
        <w:trPr>
          <w:trHeight w:val="640"/>
        </w:trPr>
        <w:tc>
          <w:tcPr>
            <w:tcW w:w="2973" w:type="dxa"/>
            <w:shd w:val="clear" w:color="auto" w:fill="006FC0"/>
          </w:tcPr>
          <w:p w14:paraId="0664BC43" w14:textId="77777777" w:rsidR="00846321" w:rsidRDefault="00846321" w:rsidP="007A3339">
            <w:pPr>
              <w:pStyle w:val="TableParagraph"/>
              <w:spacing w:before="85"/>
              <w:rPr>
                <w:b/>
                <w:sz w:val="24"/>
              </w:rPr>
            </w:pPr>
            <w:r>
              <w:rPr>
                <w:b/>
                <w:color w:val="FFFFFF"/>
                <w:spacing w:val="-2"/>
                <w:sz w:val="24"/>
              </w:rPr>
              <w:t>Version</w:t>
            </w:r>
          </w:p>
        </w:tc>
        <w:tc>
          <w:tcPr>
            <w:tcW w:w="6380" w:type="dxa"/>
          </w:tcPr>
          <w:p w14:paraId="6196F74E" w14:textId="78876F62" w:rsidR="00846321" w:rsidRPr="00433901" w:rsidRDefault="00846321" w:rsidP="007A3339">
            <w:pPr>
              <w:pStyle w:val="TableParagraph"/>
              <w:ind w:left="0"/>
              <w:rPr>
                <w:sz w:val="24"/>
                <w:szCs w:val="24"/>
              </w:rPr>
            </w:pPr>
          </w:p>
        </w:tc>
      </w:tr>
    </w:tbl>
    <w:p w14:paraId="79A963F9" w14:textId="77777777" w:rsidR="00846321" w:rsidRDefault="00846321" w:rsidP="00846321">
      <w:pPr>
        <w:pStyle w:val="BodyText"/>
        <w:rPr>
          <w:sz w:val="20"/>
        </w:rPr>
      </w:pPr>
    </w:p>
    <w:p w14:paraId="726D52BF" w14:textId="77777777" w:rsidR="00846321" w:rsidRDefault="00846321" w:rsidP="00846321">
      <w:pPr>
        <w:pStyle w:val="BodyText"/>
        <w:spacing w:before="181" w:after="1"/>
        <w:rPr>
          <w:sz w:val="20"/>
        </w:rPr>
      </w:pPr>
    </w:p>
    <w:tbl>
      <w:tblPr>
        <w:tblW w:w="9774" w:type="dxa"/>
        <w:tblInd w:w="11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9774"/>
      </w:tblGrid>
      <w:tr w:rsidR="00846321" w14:paraId="6058AD54" w14:textId="77777777" w:rsidTr="007A3339">
        <w:trPr>
          <w:trHeight w:val="639"/>
        </w:trPr>
        <w:tc>
          <w:tcPr>
            <w:tcW w:w="9774" w:type="dxa"/>
            <w:shd w:val="clear" w:color="auto" w:fill="006FC0"/>
          </w:tcPr>
          <w:p w14:paraId="670C5D00" w14:textId="77777777" w:rsidR="00846321" w:rsidRDefault="00846321" w:rsidP="007A3339">
            <w:pPr>
              <w:pStyle w:val="TableParagraph"/>
              <w:spacing w:before="84"/>
              <w:rPr>
                <w:b/>
                <w:sz w:val="24"/>
              </w:rPr>
            </w:pPr>
            <w:r>
              <w:rPr>
                <w:b/>
                <w:color w:val="FFFFFF"/>
                <w:spacing w:val="-2"/>
                <w:sz w:val="24"/>
              </w:rPr>
              <w:t>Introduction</w:t>
            </w:r>
          </w:p>
        </w:tc>
      </w:tr>
      <w:tr w:rsidR="00846321" w:rsidRPr="006F167D" w14:paraId="67292A51" w14:textId="77777777" w:rsidTr="006F167D">
        <w:trPr>
          <w:trHeight w:val="1969"/>
        </w:trPr>
        <w:tc>
          <w:tcPr>
            <w:tcW w:w="9774" w:type="dxa"/>
          </w:tcPr>
          <w:p w14:paraId="6B900B5F" w14:textId="640B5335" w:rsidR="00846321" w:rsidRPr="006F167D" w:rsidRDefault="00846321" w:rsidP="007F4869">
            <w:pPr>
              <w:pStyle w:val="TableParagraph"/>
              <w:tabs>
                <w:tab w:val="left" w:pos="828"/>
              </w:tabs>
              <w:ind w:right="250"/>
              <w:jc w:val="both"/>
            </w:pPr>
            <w:r w:rsidRPr="006F167D">
              <w:t xml:space="preserve">The </w:t>
            </w:r>
            <w:r w:rsidR="00684AF7">
              <w:t>Derby and Derbyshire</w:t>
            </w:r>
            <w:r w:rsidRPr="006F167D">
              <w:t xml:space="preserve"> Integrated Care Board (ICB) was established on 1 July 2022 under the Government’s Health and Care Act 2022. It is one of 42 ICBs in the country and replaced the eight clinical commissioning groups (or CCGs) that previously existed across the region. The ICB has since taken on responsibility for planning and buying NHS services for the 1.</w:t>
            </w:r>
            <w:r w:rsidR="00E83C95">
              <w:t>06</w:t>
            </w:r>
            <w:r w:rsidRPr="006F167D">
              <w:t xml:space="preserve">million people living in </w:t>
            </w:r>
            <w:r w:rsidR="00684AF7">
              <w:t>Derby and Derbyshire.</w:t>
            </w:r>
          </w:p>
          <w:p w14:paraId="10113E31" w14:textId="77777777" w:rsidR="00846321" w:rsidRPr="006F167D" w:rsidRDefault="00846321" w:rsidP="007F4869">
            <w:pPr>
              <w:pStyle w:val="TableParagraph"/>
              <w:tabs>
                <w:tab w:val="left" w:pos="828"/>
              </w:tabs>
              <w:ind w:left="827" w:right="250"/>
              <w:jc w:val="both"/>
            </w:pPr>
          </w:p>
          <w:p w14:paraId="008B88E4" w14:textId="77777777" w:rsidR="00846321" w:rsidRPr="006F167D" w:rsidRDefault="00846321" w:rsidP="007F4869">
            <w:pPr>
              <w:pStyle w:val="TableParagraph"/>
              <w:tabs>
                <w:tab w:val="left" w:pos="828"/>
              </w:tabs>
              <w:ind w:right="250"/>
              <w:jc w:val="both"/>
            </w:pPr>
            <w:r w:rsidRPr="006F167D">
              <w:t>The NHS Trusts and NHS Foundation Trusts that form part of the ICB are as follows:</w:t>
            </w:r>
          </w:p>
          <w:p w14:paraId="55D5B4DE" w14:textId="0C46CC56" w:rsidR="00846321" w:rsidRPr="006F167D" w:rsidRDefault="00684AF7" w:rsidP="007F4869">
            <w:pPr>
              <w:pStyle w:val="TableParagraph"/>
              <w:numPr>
                <w:ilvl w:val="0"/>
                <w:numId w:val="8"/>
              </w:numPr>
              <w:rPr>
                <w:spacing w:val="-2"/>
              </w:rPr>
            </w:pPr>
            <w:r>
              <w:rPr>
                <w:spacing w:val="-2"/>
              </w:rPr>
              <w:t>Chesterfield Royal</w:t>
            </w:r>
            <w:r w:rsidR="00846321" w:rsidRPr="006F167D">
              <w:rPr>
                <w:spacing w:val="-2"/>
              </w:rPr>
              <w:t xml:space="preserve"> NHS Foundation Trust;</w:t>
            </w:r>
          </w:p>
          <w:p w14:paraId="02887EC7" w14:textId="0890E225" w:rsidR="00846321" w:rsidRPr="006F167D" w:rsidRDefault="00684AF7" w:rsidP="007F4869">
            <w:pPr>
              <w:pStyle w:val="TableParagraph"/>
              <w:numPr>
                <w:ilvl w:val="0"/>
                <w:numId w:val="8"/>
              </w:numPr>
              <w:rPr>
                <w:spacing w:val="-2"/>
              </w:rPr>
            </w:pPr>
            <w:r>
              <w:rPr>
                <w:spacing w:val="-2"/>
              </w:rPr>
              <w:t>Derbyshire Community Health Services</w:t>
            </w:r>
            <w:r w:rsidR="00846321" w:rsidRPr="006F167D">
              <w:rPr>
                <w:spacing w:val="-2"/>
              </w:rPr>
              <w:t xml:space="preserve"> NHS</w:t>
            </w:r>
            <w:r>
              <w:rPr>
                <w:spacing w:val="-2"/>
              </w:rPr>
              <w:t xml:space="preserve"> Foundation</w:t>
            </w:r>
            <w:r w:rsidR="00846321" w:rsidRPr="006F167D">
              <w:rPr>
                <w:spacing w:val="-2"/>
              </w:rPr>
              <w:t xml:space="preserve"> Trust;</w:t>
            </w:r>
          </w:p>
          <w:p w14:paraId="49744F84" w14:textId="26C14E5C" w:rsidR="00846321" w:rsidRDefault="00684AF7" w:rsidP="007F4869">
            <w:pPr>
              <w:pStyle w:val="TableParagraph"/>
              <w:numPr>
                <w:ilvl w:val="0"/>
                <w:numId w:val="8"/>
              </w:numPr>
              <w:rPr>
                <w:spacing w:val="-2"/>
              </w:rPr>
            </w:pPr>
            <w:r>
              <w:rPr>
                <w:spacing w:val="-2"/>
              </w:rPr>
              <w:t>Derbyshire HealthCare</w:t>
            </w:r>
            <w:r w:rsidR="00846321" w:rsidRPr="006F167D">
              <w:rPr>
                <w:spacing w:val="-2"/>
              </w:rPr>
              <w:t xml:space="preserve"> NHS Foundation Trust;</w:t>
            </w:r>
          </w:p>
          <w:p w14:paraId="57DF28D7" w14:textId="2C97DC76" w:rsidR="00684AF7" w:rsidRPr="006F167D" w:rsidRDefault="00684AF7" w:rsidP="007F4869">
            <w:pPr>
              <w:pStyle w:val="TableParagraph"/>
              <w:numPr>
                <w:ilvl w:val="0"/>
                <w:numId w:val="8"/>
              </w:numPr>
              <w:rPr>
                <w:spacing w:val="-2"/>
              </w:rPr>
            </w:pPr>
            <w:r>
              <w:rPr>
                <w:spacing w:val="-2"/>
              </w:rPr>
              <w:t>East Midlands Ambulance Service NHS Trust</w:t>
            </w:r>
            <w:r w:rsidR="00E83C95">
              <w:rPr>
                <w:spacing w:val="-2"/>
              </w:rPr>
              <w:t xml:space="preserve"> ( hosted by the ICB on behalf of the Midlands region)</w:t>
            </w:r>
          </w:p>
          <w:p w14:paraId="0E1B4FC7" w14:textId="3DE76CF5" w:rsidR="00846321" w:rsidRPr="006F167D" w:rsidRDefault="00684AF7" w:rsidP="007F4869">
            <w:pPr>
              <w:pStyle w:val="TableParagraph"/>
              <w:numPr>
                <w:ilvl w:val="0"/>
                <w:numId w:val="8"/>
              </w:numPr>
              <w:rPr>
                <w:spacing w:val="-2"/>
              </w:rPr>
            </w:pPr>
            <w:r>
              <w:rPr>
                <w:spacing w:val="-2"/>
              </w:rPr>
              <w:t xml:space="preserve">University Hospitals of Derby and </w:t>
            </w:r>
            <w:r w:rsidR="00E83C95">
              <w:rPr>
                <w:spacing w:val="-2"/>
              </w:rPr>
              <w:t xml:space="preserve">Burton </w:t>
            </w:r>
            <w:r w:rsidR="00E83C95" w:rsidRPr="006F167D">
              <w:rPr>
                <w:spacing w:val="-2"/>
              </w:rPr>
              <w:t>NHS</w:t>
            </w:r>
            <w:r w:rsidR="00846321" w:rsidRPr="006F167D">
              <w:rPr>
                <w:spacing w:val="-2"/>
              </w:rPr>
              <w:t xml:space="preserve"> Foundation Trust;</w:t>
            </w:r>
          </w:p>
          <w:p w14:paraId="497D2C5C" w14:textId="77777777" w:rsidR="00684AF7" w:rsidRDefault="00684AF7" w:rsidP="007F4869">
            <w:pPr>
              <w:pStyle w:val="TableParagraph"/>
              <w:tabs>
                <w:tab w:val="left" w:pos="828"/>
              </w:tabs>
              <w:ind w:right="253"/>
              <w:jc w:val="both"/>
            </w:pPr>
          </w:p>
          <w:p w14:paraId="630E05F4" w14:textId="792C1F71" w:rsidR="00846321" w:rsidRDefault="00E83C95" w:rsidP="007F4869">
            <w:pPr>
              <w:pStyle w:val="TableParagraph"/>
              <w:tabs>
                <w:tab w:val="left" w:pos="828"/>
              </w:tabs>
              <w:ind w:right="253"/>
              <w:jc w:val="both"/>
            </w:pPr>
            <w:r>
              <w:t xml:space="preserve">The </w:t>
            </w:r>
            <w:r w:rsidR="00684AF7">
              <w:t xml:space="preserve">Derby and Derbyshire </w:t>
            </w:r>
            <w:r w:rsidR="00846321" w:rsidRPr="006F167D">
              <w:t>IC</w:t>
            </w:r>
            <w:r w:rsidR="00684AF7">
              <w:t>S</w:t>
            </w:r>
            <w:r w:rsidR="00846321" w:rsidRPr="006F167D">
              <w:t xml:space="preserve"> has </w:t>
            </w:r>
            <w:r w:rsidR="00684AF7">
              <w:t>developed a system</w:t>
            </w:r>
            <w:r w:rsidR="00846321" w:rsidRPr="006F167D">
              <w:t xml:space="preserve">-wide Infrastructure Strategy 2024 – 2040 that sets out the longer-term vision of the infrastructure / estate. </w:t>
            </w:r>
          </w:p>
          <w:p w14:paraId="3E224F2C" w14:textId="77777777" w:rsidR="00FD176F" w:rsidRDefault="00FD176F" w:rsidP="007F4869">
            <w:pPr>
              <w:pStyle w:val="TableParagraph"/>
              <w:tabs>
                <w:tab w:val="left" w:pos="828"/>
              </w:tabs>
              <w:ind w:right="253"/>
              <w:jc w:val="both"/>
            </w:pPr>
          </w:p>
          <w:p w14:paraId="18517AEA" w14:textId="21489980" w:rsidR="00FD176F" w:rsidRDefault="00FD176F" w:rsidP="007F4869">
            <w:pPr>
              <w:pStyle w:val="TableParagraph"/>
              <w:tabs>
                <w:tab w:val="left" w:pos="828"/>
              </w:tabs>
              <w:ind w:right="253"/>
              <w:jc w:val="both"/>
            </w:pPr>
            <w:r>
              <w:t xml:space="preserve">The Infrastructure Strategy provides an overview of our current estate and infrastructure, considers the changing demographics of our population and highlights some of the steps we can take to help meet our strategic aims of prioritising prevention, reducing inequalities, developing personalised care and improving connectivity. </w:t>
            </w:r>
          </w:p>
          <w:p w14:paraId="59207342" w14:textId="77777777" w:rsidR="00FD176F" w:rsidRDefault="00FD176F" w:rsidP="007F4869">
            <w:pPr>
              <w:pStyle w:val="TableParagraph"/>
              <w:tabs>
                <w:tab w:val="left" w:pos="828"/>
              </w:tabs>
              <w:ind w:right="253"/>
              <w:jc w:val="both"/>
            </w:pPr>
          </w:p>
          <w:p w14:paraId="11A9D766" w14:textId="77777777" w:rsidR="00FD176F" w:rsidRDefault="00FD176F" w:rsidP="007F4869">
            <w:pPr>
              <w:pStyle w:val="TableParagraph"/>
              <w:tabs>
                <w:tab w:val="left" w:pos="828"/>
              </w:tabs>
              <w:ind w:right="253"/>
              <w:jc w:val="both"/>
            </w:pPr>
            <w:r>
              <w:t xml:space="preserve">As a system, we will continue to face many challenges which will require increasing levels of integration and partnership working. Some areas are expected to experience significant population and housing growth, and our elderly population will continue to grow at an increasing rate. </w:t>
            </w:r>
          </w:p>
          <w:p w14:paraId="5F68854D" w14:textId="4CF29779" w:rsidR="00FD176F" w:rsidRPr="006F167D" w:rsidRDefault="00FD176F" w:rsidP="007F4869">
            <w:pPr>
              <w:pStyle w:val="TableParagraph"/>
              <w:tabs>
                <w:tab w:val="left" w:pos="828"/>
              </w:tabs>
              <w:ind w:right="253"/>
              <w:jc w:val="both"/>
            </w:pPr>
            <w:r>
              <w:t>These changes will place new and increasing demands on our healthcare services and providers, and our ability to transform our estate and infrastructure will be key in meeting our system aims and ambitions and needs of our population.</w:t>
            </w:r>
          </w:p>
          <w:p w14:paraId="2DB50513" w14:textId="77777777" w:rsidR="006F167D" w:rsidRDefault="006F167D" w:rsidP="007F4869">
            <w:pPr>
              <w:pStyle w:val="TableParagraph"/>
              <w:tabs>
                <w:tab w:val="left" w:pos="828"/>
              </w:tabs>
              <w:ind w:right="253"/>
              <w:jc w:val="both"/>
            </w:pPr>
          </w:p>
          <w:p w14:paraId="6ACC84B2" w14:textId="77777777" w:rsidR="00FD176F" w:rsidRDefault="00FD176F" w:rsidP="007F4869">
            <w:pPr>
              <w:pStyle w:val="TableParagraph"/>
              <w:tabs>
                <w:tab w:val="left" w:pos="828"/>
              </w:tabs>
              <w:ind w:right="253"/>
              <w:jc w:val="both"/>
            </w:pPr>
            <w:r>
              <w:t xml:space="preserve">To provide the required levels of integrated care, we will need to ensure the availability of modern and flexible estate which is digitally enabled to allow multi-disciplinary teams to work together to provide personalised care, most notably in our neighbourhoods. There will be a growing emphasis </w:t>
            </w:r>
            <w:r>
              <w:lastRenderedPageBreak/>
              <w:t xml:space="preserve">on working holistically within each of our 8 Places, sharing knowledge and expertise to address key challenges and share opportunities. </w:t>
            </w:r>
          </w:p>
          <w:p w14:paraId="31A4183A" w14:textId="77777777" w:rsidR="00A00D89" w:rsidRDefault="00A00D89" w:rsidP="007F4869">
            <w:pPr>
              <w:pStyle w:val="TableParagraph"/>
              <w:tabs>
                <w:tab w:val="left" w:pos="828"/>
              </w:tabs>
              <w:ind w:right="253"/>
              <w:jc w:val="both"/>
            </w:pPr>
          </w:p>
          <w:p w14:paraId="2E7529DA" w14:textId="537B2CA3" w:rsidR="00FD176F" w:rsidRPr="0097240F" w:rsidRDefault="00A00D89" w:rsidP="007F4869">
            <w:pPr>
              <w:autoSpaceDE w:val="0"/>
              <w:autoSpaceDN w:val="0"/>
              <w:adjustRightInd w:val="0"/>
              <w:spacing w:after="0" w:line="240" w:lineRule="auto"/>
              <w:rPr>
                <w:sz w:val="22"/>
              </w:rPr>
            </w:pPr>
            <w:r w:rsidRPr="0097240F">
              <w:rPr>
                <w:sz w:val="22"/>
              </w:rPr>
              <w:t>The system has an identified Senior Responsible Officer who is an Executive Director for one of the partner organisations</w:t>
            </w:r>
            <w:r w:rsidR="00374AE6">
              <w:rPr>
                <w:sz w:val="22"/>
              </w:rPr>
              <w:t>, who alongside o</w:t>
            </w:r>
            <w:r w:rsidR="0097240F" w:rsidRPr="0097240F">
              <w:rPr>
                <w:sz w:val="22"/>
              </w:rPr>
              <w:t>ur Strategic Estates Group provides the necessary leadership and oversight of system estates matters and the Infrastructure Strategy, working alongside our Local Estates Forum.</w:t>
            </w:r>
          </w:p>
          <w:p w14:paraId="57FB10C1" w14:textId="77777777" w:rsidR="0097240F" w:rsidRPr="0097240F" w:rsidRDefault="0097240F" w:rsidP="007F4869">
            <w:pPr>
              <w:autoSpaceDE w:val="0"/>
              <w:autoSpaceDN w:val="0"/>
              <w:adjustRightInd w:val="0"/>
              <w:spacing w:after="0" w:line="240" w:lineRule="auto"/>
              <w:rPr>
                <w:szCs w:val="24"/>
              </w:rPr>
            </w:pPr>
          </w:p>
          <w:p w14:paraId="482A1E2C" w14:textId="430B958D" w:rsidR="00FD176F" w:rsidRDefault="00FD176F" w:rsidP="007F4869">
            <w:pPr>
              <w:pStyle w:val="TableParagraph"/>
              <w:tabs>
                <w:tab w:val="left" w:pos="828"/>
              </w:tabs>
              <w:ind w:right="253"/>
              <w:jc w:val="both"/>
            </w:pPr>
            <w:r>
              <w:t>It must also be noted that financial parameters will have an impact upon our ability to deliver transformational projects, and that capital will need to be prioritised effectively in order to address the areas of greatest need.</w:t>
            </w:r>
          </w:p>
          <w:p w14:paraId="4B03ADA3" w14:textId="25D94A01" w:rsidR="006F167D" w:rsidRPr="006F167D" w:rsidRDefault="006F167D" w:rsidP="007F4869">
            <w:pPr>
              <w:pStyle w:val="TableParagraph"/>
              <w:tabs>
                <w:tab w:val="left" w:pos="828"/>
              </w:tabs>
              <w:ind w:left="0" w:right="173"/>
              <w:jc w:val="both"/>
            </w:pPr>
          </w:p>
        </w:tc>
      </w:tr>
    </w:tbl>
    <w:p w14:paraId="3149590B" w14:textId="77777777" w:rsidR="00846321" w:rsidRPr="006F167D" w:rsidRDefault="00846321" w:rsidP="007F4869">
      <w:pPr>
        <w:pStyle w:val="BodyText"/>
        <w:spacing w:after="0" w:line="240" w:lineRule="auto"/>
        <w:rPr>
          <w:sz w:val="22"/>
        </w:rPr>
      </w:pPr>
    </w:p>
    <w:tbl>
      <w:tblPr>
        <w:tblW w:w="9807" w:type="dxa"/>
        <w:tblInd w:w="11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9807"/>
      </w:tblGrid>
      <w:tr w:rsidR="00846321" w:rsidRPr="006F167D" w14:paraId="49A05DAE" w14:textId="77777777" w:rsidTr="007A3339">
        <w:trPr>
          <w:trHeight w:val="640"/>
        </w:trPr>
        <w:tc>
          <w:tcPr>
            <w:tcW w:w="9807" w:type="dxa"/>
            <w:shd w:val="clear" w:color="auto" w:fill="006FC0"/>
          </w:tcPr>
          <w:p w14:paraId="5266B7A7" w14:textId="77777777" w:rsidR="00846321" w:rsidRPr="006F167D" w:rsidRDefault="00846321" w:rsidP="007F4869">
            <w:pPr>
              <w:pStyle w:val="TableParagraph"/>
              <w:rPr>
                <w:b/>
              </w:rPr>
            </w:pPr>
            <w:r w:rsidRPr="006F167D">
              <w:rPr>
                <w:b/>
                <w:color w:val="FFFFFF"/>
              </w:rPr>
              <w:t>2024/25</w:t>
            </w:r>
            <w:r w:rsidRPr="006F167D">
              <w:rPr>
                <w:b/>
                <w:color w:val="FFFFFF"/>
                <w:spacing w:val="-5"/>
              </w:rPr>
              <w:t xml:space="preserve"> </w:t>
            </w:r>
            <w:r w:rsidRPr="006F167D">
              <w:rPr>
                <w:b/>
                <w:color w:val="FFFFFF"/>
              </w:rPr>
              <w:t>CDEL</w:t>
            </w:r>
            <w:r w:rsidRPr="006F167D">
              <w:rPr>
                <w:b/>
                <w:color w:val="FFFFFF"/>
                <w:spacing w:val="-4"/>
              </w:rPr>
              <w:t xml:space="preserve"> </w:t>
            </w:r>
            <w:r w:rsidRPr="006F167D">
              <w:rPr>
                <w:b/>
                <w:color w:val="FFFFFF"/>
              </w:rPr>
              <w:t>allocations</w:t>
            </w:r>
            <w:r w:rsidRPr="006F167D">
              <w:rPr>
                <w:b/>
                <w:color w:val="FFFFFF"/>
                <w:spacing w:val="-5"/>
              </w:rPr>
              <w:t xml:space="preserve"> </w:t>
            </w:r>
            <w:r w:rsidRPr="006F167D">
              <w:rPr>
                <w:b/>
                <w:color w:val="FFFFFF"/>
              </w:rPr>
              <w:t>and</w:t>
            </w:r>
            <w:r w:rsidRPr="006F167D">
              <w:rPr>
                <w:b/>
                <w:color w:val="FFFFFF"/>
                <w:spacing w:val="-5"/>
              </w:rPr>
              <w:t xml:space="preserve"> </w:t>
            </w:r>
            <w:r w:rsidRPr="006F167D">
              <w:rPr>
                <w:b/>
                <w:color w:val="FFFFFF"/>
              </w:rPr>
              <w:t>sources</w:t>
            </w:r>
            <w:r w:rsidRPr="006F167D">
              <w:rPr>
                <w:b/>
                <w:color w:val="FFFFFF"/>
                <w:spacing w:val="-5"/>
              </w:rPr>
              <w:t xml:space="preserve"> </w:t>
            </w:r>
            <w:r w:rsidRPr="006F167D">
              <w:rPr>
                <w:b/>
                <w:color w:val="FFFFFF"/>
              </w:rPr>
              <w:t>of</w:t>
            </w:r>
            <w:r w:rsidRPr="006F167D">
              <w:rPr>
                <w:b/>
                <w:color w:val="FFFFFF"/>
                <w:spacing w:val="-3"/>
              </w:rPr>
              <w:t xml:space="preserve"> </w:t>
            </w:r>
            <w:r w:rsidRPr="006F167D">
              <w:rPr>
                <w:b/>
                <w:color w:val="FFFFFF"/>
                <w:spacing w:val="-2"/>
              </w:rPr>
              <w:t>funding</w:t>
            </w:r>
          </w:p>
        </w:tc>
      </w:tr>
      <w:tr w:rsidR="00846321" w:rsidRPr="006F167D" w14:paraId="07C3CFD6" w14:textId="77777777" w:rsidTr="006F167D">
        <w:trPr>
          <w:trHeight w:val="8244"/>
        </w:trPr>
        <w:tc>
          <w:tcPr>
            <w:tcW w:w="9807" w:type="dxa"/>
          </w:tcPr>
          <w:p w14:paraId="7A6EBB23" w14:textId="1632882C" w:rsidR="00FB5239" w:rsidRPr="007F4869" w:rsidRDefault="00FB5239" w:rsidP="00FB5239">
            <w:pPr>
              <w:widowControl w:val="0"/>
              <w:autoSpaceDE w:val="0"/>
              <w:autoSpaceDN w:val="0"/>
              <w:spacing w:after="0" w:line="240" w:lineRule="auto"/>
              <w:rPr>
                <w:sz w:val="22"/>
              </w:rPr>
            </w:pPr>
            <w:r>
              <w:rPr>
                <w:sz w:val="22"/>
              </w:rPr>
              <w:t xml:space="preserve">The </w:t>
            </w:r>
            <w:r w:rsidRPr="006F167D">
              <w:rPr>
                <w:sz w:val="22"/>
              </w:rPr>
              <w:t xml:space="preserve">total </w:t>
            </w:r>
            <w:r>
              <w:rPr>
                <w:sz w:val="22"/>
              </w:rPr>
              <w:t xml:space="preserve">system </w:t>
            </w:r>
            <w:r w:rsidRPr="006F167D">
              <w:rPr>
                <w:sz w:val="22"/>
              </w:rPr>
              <w:t xml:space="preserve">capital </w:t>
            </w:r>
            <w:r w:rsidR="00562756">
              <w:rPr>
                <w:sz w:val="22"/>
              </w:rPr>
              <w:t xml:space="preserve">investment plans </w:t>
            </w:r>
            <w:r w:rsidRPr="006F167D">
              <w:rPr>
                <w:sz w:val="22"/>
              </w:rPr>
              <w:t xml:space="preserve">for 2024/25 </w:t>
            </w:r>
            <w:r w:rsidR="00562756">
              <w:rPr>
                <w:sz w:val="22"/>
              </w:rPr>
              <w:t xml:space="preserve">total </w:t>
            </w:r>
            <w:r w:rsidRPr="006F167D">
              <w:rPr>
                <w:sz w:val="22"/>
              </w:rPr>
              <w:t>£</w:t>
            </w:r>
            <w:r>
              <w:rPr>
                <w:sz w:val="22"/>
              </w:rPr>
              <w:t>16</w:t>
            </w:r>
            <w:r w:rsidR="00FA01B8">
              <w:rPr>
                <w:sz w:val="22"/>
              </w:rPr>
              <w:t>5</w:t>
            </w:r>
            <w:r>
              <w:rPr>
                <w:sz w:val="22"/>
              </w:rPr>
              <w:t>.</w:t>
            </w:r>
            <w:r w:rsidR="00857EEB">
              <w:rPr>
                <w:sz w:val="22"/>
              </w:rPr>
              <w:t>7</w:t>
            </w:r>
            <w:r w:rsidR="00562756">
              <w:rPr>
                <w:sz w:val="22"/>
              </w:rPr>
              <w:t>6</w:t>
            </w:r>
            <w:r>
              <w:rPr>
                <w:sz w:val="22"/>
              </w:rPr>
              <w:t>6m</w:t>
            </w:r>
            <w:r w:rsidRPr="006F167D">
              <w:rPr>
                <w:sz w:val="22"/>
              </w:rPr>
              <w:t xml:space="preserve">.  Excluding the impact of </w:t>
            </w:r>
            <w:r w:rsidRPr="00C15048">
              <w:rPr>
                <w:sz w:val="22"/>
              </w:rPr>
              <w:t>IFRS 16 of £</w:t>
            </w:r>
            <w:r>
              <w:rPr>
                <w:sz w:val="22"/>
              </w:rPr>
              <w:t>24.</w:t>
            </w:r>
            <w:r w:rsidRPr="007F4869">
              <w:rPr>
                <w:sz w:val="22"/>
              </w:rPr>
              <w:t>461m and national allocations of £87.332m , the operational allocation is £5</w:t>
            </w:r>
            <w:r w:rsidR="00562756" w:rsidRPr="007F4869">
              <w:rPr>
                <w:sz w:val="22"/>
              </w:rPr>
              <w:t>3.973</w:t>
            </w:r>
            <w:r w:rsidRPr="007F4869">
              <w:rPr>
                <w:sz w:val="22"/>
              </w:rPr>
              <w:t>m with the funding for this being split as follows:</w:t>
            </w:r>
          </w:p>
          <w:p w14:paraId="050E1D49" w14:textId="763513A7" w:rsidR="00FB5239" w:rsidRPr="007F4869" w:rsidRDefault="00FB5239" w:rsidP="00FB5239">
            <w:pPr>
              <w:pStyle w:val="TableParagraph"/>
              <w:numPr>
                <w:ilvl w:val="0"/>
                <w:numId w:val="8"/>
              </w:numPr>
              <w:spacing w:before="106"/>
              <w:rPr>
                <w:spacing w:val="-2"/>
              </w:rPr>
            </w:pPr>
            <w:r w:rsidRPr="007F4869">
              <w:rPr>
                <w:spacing w:val="-2"/>
              </w:rPr>
              <w:t>Operational capital £53.</w:t>
            </w:r>
            <w:r w:rsidR="00562756" w:rsidRPr="007F4869">
              <w:rPr>
                <w:spacing w:val="-2"/>
              </w:rPr>
              <w:t>973</w:t>
            </w:r>
            <w:r w:rsidRPr="007F4869">
              <w:rPr>
                <w:spacing w:val="-2"/>
              </w:rPr>
              <w:t xml:space="preserve">m </w:t>
            </w:r>
          </w:p>
          <w:p w14:paraId="09863ED5" w14:textId="3B499896" w:rsidR="00FB5239" w:rsidRPr="007F4869" w:rsidRDefault="00FB5239" w:rsidP="00FB5239">
            <w:pPr>
              <w:pStyle w:val="TableParagraph"/>
              <w:numPr>
                <w:ilvl w:val="0"/>
                <w:numId w:val="8"/>
              </w:numPr>
              <w:spacing w:before="106"/>
              <w:ind w:firstLine="436"/>
              <w:rPr>
                <w:spacing w:val="-2"/>
              </w:rPr>
            </w:pPr>
            <w:r w:rsidRPr="007F4869">
              <w:rPr>
                <w:spacing w:val="-2"/>
              </w:rPr>
              <w:t>Provider operational capital £5</w:t>
            </w:r>
            <w:r w:rsidR="00562756" w:rsidRPr="007F4869">
              <w:rPr>
                <w:spacing w:val="-2"/>
              </w:rPr>
              <w:t>2.173</w:t>
            </w:r>
            <w:r w:rsidRPr="007F4869">
              <w:rPr>
                <w:spacing w:val="-2"/>
              </w:rPr>
              <w:t xml:space="preserve">m </w:t>
            </w:r>
          </w:p>
          <w:p w14:paraId="143BED97" w14:textId="4AE15C0E" w:rsidR="00FB5239" w:rsidRPr="007F4869" w:rsidRDefault="00FB5239" w:rsidP="00FB5239">
            <w:pPr>
              <w:pStyle w:val="TableParagraph"/>
              <w:numPr>
                <w:ilvl w:val="0"/>
                <w:numId w:val="8"/>
              </w:numPr>
              <w:spacing w:before="106"/>
              <w:ind w:firstLine="436"/>
              <w:rPr>
                <w:spacing w:val="-2"/>
              </w:rPr>
            </w:pPr>
            <w:r w:rsidRPr="007F4869">
              <w:rPr>
                <w:spacing w:val="-2"/>
              </w:rPr>
              <w:t>ICB operational capital £1.8m</w:t>
            </w:r>
          </w:p>
          <w:p w14:paraId="24A1EFA1" w14:textId="77777777" w:rsidR="00562756" w:rsidRPr="007F4869" w:rsidRDefault="00562756" w:rsidP="00562756">
            <w:pPr>
              <w:pStyle w:val="TableParagraph"/>
              <w:spacing w:before="106"/>
              <w:ind w:left="0"/>
              <w:rPr>
                <w:spacing w:val="-2"/>
              </w:rPr>
            </w:pPr>
          </w:p>
          <w:p w14:paraId="5518B765" w14:textId="696CFC4E" w:rsidR="000229A7" w:rsidRPr="00C15048" w:rsidRDefault="00FB5239" w:rsidP="006F167D">
            <w:pPr>
              <w:widowControl w:val="0"/>
              <w:autoSpaceDE w:val="0"/>
              <w:autoSpaceDN w:val="0"/>
              <w:spacing w:after="0" w:line="240" w:lineRule="auto"/>
              <w:rPr>
                <w:sz w:val="22"/>
              </w:rPr>
            </w:pPr>
            <w:r w:rsidRPr="007F4869">
              <w:rPr>
                <w:sz w:val="22"/>
              </w:rPr>
              <w:t>Provider plans</w:t>
            </w:r>
            <w:r w:rsidR="00AA7A18" w:rsidRPr="007F4869">
              <w:rPr>
                <w:sz w:val="22"/>
              </w:rPr>
              <w:t xml:space="preserve"> include a 5% planning variance which equates to £</w:t>
            </w:r>
            <w:r w:rsidR="00562756" w:rsidRPr="007F4869">
              <w:rPr>
                <w:sz w:val="22"/>
              </w:rPr>
              <w:t>1.265</w:t>
            </w:r>
            <w:r w:rsidR="00AA7A18" w:rsidRPr="007F4869">
              <w:rPr>
                <w:sz w:val="22"/>
              </w:rPr>
              <w:t>m</w:t>
            </w:r>
            <w:r w:rsidR="00CB41DB" w:rsidRPr="007F4869">
              <w:rPr>
                <w:sz w:val="22"/>
              </w:rPr>
              <w:t>. This planned over-commitment is to mitigate against the impact of slippage on schemes in year and to ensure that the system is able to utilise the full allocation available to it in any given year on schemes that have been identified as the highest priority in terms of managing risk and or delivery of the priorities of the ICS.</w:t>
            </w:r>
            <w:r w:rsidR="00FE58B3" w:rsidRPr="007F4869">
              <w:rPr>
                <w:sz w:val="22"/>
              </w:rPr>
              <w:t xml:space="preserve"> This over-commitment will be </w:t>
            </w:r>
            <w:r w:rsidR="00FE58B3">
              <w:rPr>
                <w:sz w:val="22"/>
              </w:rPr>
              <w:t>managed in year as part of the overall delivery of the system's capital plan within the resources allocated to it.</w:t>
            </w:r>
          </w:p>
          <w:p w14:paraId="34232F7B" w14:textId="77777777" w:rsidR="006F167D" w:rsidRDefault="006F167D" w:rsidP="006F167D">
            <w:pPr>
              <w:widowControl w:val="0"/>
              <w:autoSpaceDE w:val="0"/>
              <w:autoSpaceDN w:val="0"/>
              <w:spacing w:after="0" w:line="240" w:lineRule="auto"/>
              <w:rPr>
                <w:sz w:val="22"/>
              </w:rPr>
            </w:pPr>
          </w:p>
          <w:p w14:paraId="2DF9D964" w14:textId="1BBD5677" w:rsidR="00BF1613" w:rsidRDefault="00FE58B3" w:rsidP="00CB41DB">
            <w:pPr>
              <w:widowControl w:val="0"/>
              <w:autoSpaceDE w:val="0"/>
              <w:autoSpaceDN w:val="0"/>
              <w:spacing w:after="0" w:line="240" w:lineRule="auto"/>
              <w:rPr>
                <w:sz w:val="22"/>
              </w:rPr>
            </w:pPr>
            <w:r>
              <w:rPr>
                <w:sz w:val="22"/>
              </w:rPr>
              <w:t xml:space="preserve">In addition to the operational capital allocation, the system will receive funding to support the impact of IFRS16 on capital expenditure. </w:t>
            </w:r>
            <w:r w:rsidR="00BF1613">
              <w:rPr>
                <w:sz w:val="22"/>
              </w:rPr>
              <w:t>The IFRS16 allocation is to cover the charge against capital expenditure when new leases are tak</w:t>
            </w:r>
            <w:r w:rsidR="00FB5239">
              <w:rPr>
                <w:sz w:val="22"/>
              </w:rPr>
              <w:t>en on by system partners and are required to be recognised as " right to use " assets on the balance sheet which is considered as capital expenditure.</w:t>
            </w:r>
            <w:r w:rsidR="00CE4716">
              <w:rPr>
                <w:sz w:val="22"/>
              </w:rPr>
              <w:t xml:space="preserve"> The allocation that the system has received is less than the level of expenditure planned and therefore the system will need to reassess it’s lease liabilities in year to mitigate or offset the increased costs against the operational capital allocation.</w:t>
            </w:r>
          </w:p>
          <w:p w14:paraId="076EEF2C" w14:textId="77777777" w:rsidR="00FB5239" w:rsidRDefault="00FB5239" w:rsidP="00CB41DB">
            <w:pPr>
              <w:widowControl w:val="0"/>
              <w:autoSpaceDE w:val="0"/>
              <w:autoSpaceDN w:val="0"/>
              <w:spacing w:after="0" w:line="240" w:lineRule="auto"/>
              <w:rPr>
                <w:sz w:val="22"/>
              </w:rPr>
            </w:pPr>
          </w:p>
          <w:p w14:paraId="59933E34" w14:textId="64F84A32" w:rsidR="00CE4716" w:rsidRDefault="00451C1C" w:rsidP="00CB41DB">
            <w:pPr>
              <w:widowControl w:val="0"/>
              <w:autoSpaceDE w:val="0"/>
              <w:autoSpaceDN w:val="0"/>
              <w:spacing w:after="0" w:line="240" w:lineRule="auto"/>
              <w:rPr>
                <w:sz w:val="22"/>
              </w:rPr>
            </w:pPr>
            <w:r>
              <w:rPr>
                <w:sz w:val="22"/>
              </w:rPr>
              <w:t xml:space="preserve">In 2024/25 the system </w:t>
            </w:r>
            <w:r w:rsidR="00562756">
              <w:rPr>
                <w:sz w:val="22"/>
              </w:rPr>
              <w:t>submitted plans</w:t>
            </w:r>
            <w:r>
              <w:rPr>
                <w:sz w:val="22"/>
              </w:rPr>
              <w:t xml:space="preserve"> to the value of £87.332m</w:t>
            </w:r>
            <w:r w:rsidR="00562756">
              <w:rPr>
                <w:sz w:val="22"/>
              </w:rPr>
              <w:t xml:space="preserve"> which will be funded from separate national funding outside of the business as </w:t>
            </w:r>
            <w:r w:rsidR="00FE58B3">
              <w:rPr>
                <w:sz w:val="22"/>
              </w:rPr>
              <w:t>usual,</w:t>
            </w:r>
            <w:r w:rsidR="00562756">
              <w:rPr>
                <w:sz w:val="22"/>
              </w:rPr>
              <w:t xml:space="preserve"> operational capital allocation. </w:t>
            </w:r>
            <w:r>
              <w:rPr>
                <w:sz w:val="22"/>
              </w:rPr>
              <w:t xml:space="preserve">This funding is to </w:t>
            </w:r>
            <w:r w:rsidR="00562756">
              <w:rPr>
                <w:sz w:val="22"/>
              </w:rPr>
              <w:t>s</w:t>
            </w:r>
            <w:r>
              <w:rPr>
                <w:sz w:val="22"/>
              </w:rPr>
              <w:t xml:space="preserve">upport specific schemes which are been subject to business case approval or are part of national initiatives. </w:t>
            </w:r>
          </w:p>
          <w:p w14:paraId="2FF45CBF" w14:textId="77777777" w:rsidR="00CE4716" w:rsidRDefault="00CE4716" w:rsidP="00CB41DB">
            <w:pPr>
              <w:widowControl w:val="0"/>
              <w:autoSpaceDE w:val="0"/>
              <w:autoSpaceDN w:val="0"/>
              <w:spacing w:after="0" w:line="240" w:lineRule="auto"/>
              <w:rPr>
                <w:sz w:val="22"/>
              </w:rPr>
            </w:pPr>
          </w:p>
          <w:p w14:paraId="3E1D1976" w14:textId="0B23C584" w:rsidR="00451C1C" w:rsidRDefault="00FE58B3" w:rsidP="00562756">
            <w:pPr>
              <w:widowControl w:val="0"/>
              <w:autoSpaceDE w:val="0"/>
              <w:autoSpaceDN w:val="0"/>
              <w:spacing w:after="0" w:line="240" w:lineRule="auto"/>
              <w:rPr>
                <w:sz w:val="22"/>
              </w:rPr>
            </w:pPr>
            <w:r>
              <w:rPr>
                <w:sz w:val="22"/>
              </w:rPr>
              <w:t xml:space="preserve">The operational capital allocation is funded by providers by using the cash generated through depreciation </w:t>
            </w:r>
            <w:r w:rsidR="003E7E09">
              <w:rPr>
                <w:sz w:val="22"/>
              </w:rPr>
              <w:t>charges,</w:t>
            </w:r>
            <w:r>
              <w:rPr>
                <w:sz w:val="22"/>
              </w:rPr>
              <w:t xml:space="preserve"> drawing on cash reserves being held or </w:t>
            </w:r>
            <w:r w:rsidR="000D27B2">
              <w:rPr>
                <w:sz w:val="22"/>
              </w:rPr>
              <w:t>via support from system partners.</w:t>
            </w:r>
          </w:p>
          <w:p w14:paraId="47422E6A" w14:textId="77777777" w:rsidR="00FE58B3" w:rsidRDefault="00FE58B3" w:rsidP="00562756">
            <w:pPr>
              <w:widowControl w:val="0"/>
              <w:autoSpaceDE w:val="0"/>
              <w:autoSpaceDN w:val="0"/>
              <w:spacing w:after="0" w:line="240" w:lineRule="auto"/>
              <w:rPr>
                <w:sz w:val="22"/>
              </w:rPr>
            </w:pPr>
          </w:p>
          <w:p w14:paraId="5C0D9318" w14:textId="40719528" w:rsidR="00FE58B3" w:rsidRDefault="00FE58B3" w:rsidP="00562756">
            <w:pPr>
              <w:widowControl w:val="0"/>
              <w:autoSpaceDE w:val="0"/>
              <w:autoSpaceDN w:val="0"/>
              <w:spacing w:after="0" w:line="240" w:lineRule="auto"/>
              <w:rPr>
                <w:sz w:val="22"/>
              </w:rPr>
            </w:pPr>
            <w:r>
              <w:rPr>
                <w:sz w:val="22"/>
              </w:rPr>
              <w:t>Funding for national programmes and or significant business cases which have been approved for separate funding are funded through the allocation of cash backed Public Dividend Capital to the relevant Trust.</w:t>
            </w:r>
          </w:p>
          <w:p w14:paraId="35EAB238" w14:textId="718476F2" w:rsidR="00FE58B3" w:rsidRPr="006F167D" w:rsidRDefault="00FE58B3" w:rsidP="00562756">
            <w:pPr>
              <w:widowControl w:val="0"/>
              <w:autoSpaceDE w:val="0"/>
              <w:autoSpaceDN w:val="0"/>
              <w:spacing w:after="0" w:line="240" w:lineRule="auto"/>
              <w:rPr>
                <w:sz w:val="22"/>
              </w:rPr>
            </w:pPr>
          </w:p>
        </w:tc>
      </w:tr>
    </w:tbl>
    <w:p w14:paraId="7E08EEC6" w14:textId="77777777" w:rsidR="00846321" w:rsidRDefault="00846321" w:rsidP="00846321">
      <w:pPr>
        <w:spacing w:line="254" w:lineRule="exact"/>
        <w:sectPr w:rsidR="00846321" w:rsidSect="00175EF9">
          <w:headerReference w:type="default" r:id="rId11"/>
          <w:footerReference w:type="default" r:id="rId12"/>
          <w:pgSz w:w="11910" w:h="16840"/>
          <w:pgMar w:top="1600" w:right="1100" w:bottom="1140" w:left="920" w:header="567" w:footer="952" w:gutter="0"/>
          <w:cols w:space="720"/>
          <w:docGrid w:linePitch="299"/>
        </w:sectPr>
      </w:pPr>
    </w:p>
    <w:tbl>
      <w:tblPr>
        <w:tblW w:w="0" w:type="auto"/>
        <w:tblInd w:w="11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9356"/>
      </w:tblGrid>
      <w:tr w:rsidR="00846321" w14:paraId="6DB3B260" w14:textId="77777777" w:rsidTr="007A3339">
        <w:trPr>
          <w:trHeight w:val="640"/>
        </w:trPr>
        <w:tc>
          <w:tcPr>
            <w:tcW w:w="9356" w:type="dxa"/>
            <w:shd w:val="clear" w:color="auto" w:fill="006FC0"/>
          </w:tcPr>
          <w:p w14:paraId="415B7C13" w14:textId="77777777" w:rsidR="00846321" w:rsidRDefault="00846321" w:rsidP="007A3339">
            <w:pPr>
              <w:pStyle w:val="TableParagraph"/>
              <w:spacing w:before="84"/>
              <w:rPr>
                <w:b/>
                <w:sz w:val="24"/>
              </w:rPr>
            </w:pPr>
            <w:r>
              <w:rPr>
                <w:b/>
                <w:color w:val="FFFFFF"/>
                <w:sz w:val="24"/>
              </w:rPr>
              <w:lastRenderedPageBreak/>
              <w:t>Capital</w:t>
            </w:r>
            <w:r>
              <w:rPr>
                <w:b/>
                <w:color w:val="FFFFFF"/>
                <w:spacing w:val="-5"/>
                <w:sz w:val="24"/>
              </w:rPr>
              <w:t xml:space="preserve"> </w:t>
            </w:r>
            <w:r>
              <w:rPr>
                <w:b/>
                <w:color w:val="FFFFFF"/>
                <w:spacing w:val="-2"/>
                <w:sz w:val="24"/>
              </w:rPr>
              <w:t>prioritisation</w:t>
            </w:r>
          </w:p>
        </w:tc>
      </w:tr>
      <w:tr w:rsidR="00846321" w14:paraId="353229EE" w14:textId="77777777" w:rsidTr="007A3339">
        <w:trPr>
          <w:trHeight w:val="4270"/>
        </w:trPr>
        <w:tc>
          <w:tcPr>
            <w:tcW w:w="9356" w:type="dxa"/>
          </w:tcPr>
          <w:p w14:paraId="1BC1E0EF" w14:textId="77777777" w:rsidR="00DC1886" w:rsidRDefault="00DC1886" w:rsidP="003915A4">
            <w:pPr>
              <w:pStyle w:val="TableParagraph"/>
              <w:tabs>
                <w:tab w:val="left" w:pos="828"/>
              </w:tabs>
              <w:ind w:right="536"/>
            </w:pPr>
          </w:p>
          <w:p w14:paraId="3CBE1196" w14:textId="39581A73" w:rsidR="00DC1886" w:rsidRDefault="00DC1886" w:rsidP="003915A4">
            <w:pPr>
              <w:pStyle w:val="TableParagraph"/>
              <w:tabs>
                <w:tab w:val="left" w:pos="828"/>
              </w:tabs>
              <w:ind w:right="536"/>
            </w:pPr>
            <w:r>
              <w:t xml:space="preserve">We have followed a risk-based approach to </w:t>
            </w:r>
            <w:proofErr w:type="spellStart"/>
            <w:r>
              <w:t>prioritise</w:t>
            </w:r>
            <w:proofErr w:type="spellEnd"/>
            <w:r>
              <w:t xml:space="preserve"> expenditure within the capital budget for NHS trusts. The system needs to live within a finite budget in which we need to ensure that our services and environments are safe and fit-for-purpose, so we have to consider where the most pressing need for investment is. This might include balancing investment, for instance, between backlog maintenance, replacing service critical equipment</w:t>
            </w:r>
            <w:r w:rsidR="00095BC4">
              <w:t xml:space="preserve"> and investment in digital capability or major capital schemes.</w:t>
            </w:r>
          </w:p>
          <w:p w14:paraId="48942EDE" w14:textId="77777777" w:rsidR="00FB09D3" w:rsidRDefault="00FB09D3" w:rsidP="003915A4">
            <w:pPr>
              <w:pStyle w:val="TableParagraph"/>
              <w:tabs>
                <w:tab w:val="left" w:pos="828"/>
              </w:tabs>
              <w:ind w:right="536"/>
            </w:pPr>
          </w:p>
          <w:p w14:paraId="381987F1" w14:textId="0BE9158C" w:rsidR="00846321" w:rsidRDefault="00FD176F" w:rsidP="003915A4">
            <w:pPr>
              <w:pStyle w:val="TableParagraph"/>
              <w:tabs>
                <w:tab w:val="left" w:pos="828"/>
              </w:tabs>
              <w:ind w:right="536"/>
            </w:pPr>
            <w:r>
              <w:t>We have</w:t>
            </w:r>
            <w:r w:rsidR="00CD7055">
              <w:t xml:space="preserve"> adopted an approach to prioritisation which is based on </w:t>
            </w:r>
            <w:r>
              <w:t xml:space="preserve">scoring each bid against </w:t>
            </w:r>
            <w:r w:rsidR="00CD7055">
              <w:t xml:space="preserve">eight key criteria which are </w:t>
            </w:r>
            <w:r>
              <w:t>given a weighting which reflects the relative importance of that criteria to the effective management of material risks and or the delivery of key system priorities.</w:t>
            </w:r>
          </w:p>
          <w:p w14:paraId="42A97DD1" w14:textId="77777777" w:rsidR="00CD7055" w:rsidRDefault="00CD7055" w:rsidP="00FD176F">
            <w:pPr>
              <w:pStyle w:val="TableParagraph"/>
              <w:tabs>
                <w:tab w:val="left" w:pos="828"/>
              </w:tabs>
              <w:ind w:left="0" w:right="536"/>
            </w:pPr>
          </w:p>
          <w:p w14:paraId="6B32B5A4" w14:textId="34A45899" w:rsidR="00CD7055" w:rsidRDefault="00CD7055" w:rsidP="00CD7055">
            <w:pPr>
              <w:pStyle w:val="TableParagraph"/>
              <w:tabs>
                <w:tab w:val="left" w:pos="828"/>
              </w:tabs>
              <w:ind w:right="536"/>
            </w:pPr>
            <w:r>
              <w:t>The agreed criteria are</w:t>
            </w:r>
            <w:r w:rsidR="007F4869">
              <w:t>:</w:t>
            </w:r>
          </w:p>
          <w:p w14:paraId="2C0108DC" w14:textId="77777777" w:rsidR="00CD7055" w:rsidRDefault="00CD7055" w:rsidP="00CD7055">
            <w:pPr>
              <w:pStyle w:val="TableParagraph"/>
              <w:tabs>
                <w:tab w:val="left" w:pos="828"/>
              </w:tabs>
              <w:ind w:right="536"/>
            </w:pPr>
          </w:p>
          <w:p w14:paraId="551E4383" w14:textId="77777777" w:rsidR="00CD7055" w:rsidRDefault="00CD7055" w:rsidP="00CD7055">
            <w:pPr>
              <w:pStyle w:val="TableParagraph"/>
              <w:tabs>
                <w:tab w:val="left" w:pos="828"/>
              </w:tabs>
              <w:ind w:right="536"/>
            </w:pPr>
            <w:r>
              <w:t>Clinical Safety</w:t>
            </w:r>
          </w:p>
          <w:p w14:paraId="65EADF89" w14:textId="77777777" w:rsidR="00CD7055" w:rsidRDefault="00CD7055" w:rsidP="00CD7055">
            <w:pPr>
              <w:pStyle w:val="TableParagraph"/>
              <w:tabs>
                <w:tab w:val="left" w:pos="828"/>
              </w:tabs>
              <w:ind w:right="536"/>
            </w:pPr>
            <w:r>
              <w:t xml:space="preserve">Stay in Business </w:t>
            </w:r>
          </w:p>
          <w:p w14:paraId="41B2435E" w14:textId="77777777" w:rsidR="00CD7055" w:rsidRDefault="00CD7055" w:rsidP="00CD7055">
            <w:pPr>
              <w:pStyle w:val="TableParagraph"/>
              <w:tabs>
                <w:tab w:val="left" w:pos="828"/>
              </w:tabs>
              <w:ind w:right="536"/>
            </w:pPr>
            <w:r>
              <w:t>Statutory Compliance</w:t>
            </w:r>
          </w:p>
          <w:p w14:paraId="5C30E201" w14:textId="77777777" w:rsidR="00CD7055" w:rsidRDefault="00CD7055" w:rsidP="00CD7055">
            <w:pPr>
              <w:pStyle w:val="TableParagraph"/>
              <w:tabs>
                <w:tab w:val="left" w:pos="828"/>
              </w:tabs>
              <w:ind w:right="536"/>
            </w:pPr>
            <w:r>
              <w:t>Physical condition of the estate</w:t>
            </w:r>
          </w:p>
          <w:p w14:paraId="638B17DF" w14:textId="77777777" w:rsidR="00CD7055" w:rsidRDefault="00CD7055" w:rsidP="00CD7055">
            <w:pPr>
              <w:pStyle w:val="TableParagraph"/>
              <w:tabs>
                <w:tab w:val="left" w:pos="828"/>
              </w:tabs>
              <w:ind w:right="536"/>
            </w:pPr>
            <w:r>
              <w:t>Operational efficiency / financial sustainability</w:t>
            </w:r>
          </w:p>
          <w:p w14:paraId="5A278129" w14:textId="1DA953D2" w:rsidR="00CD7055" w:rsidRDefault="00CD7055" w:rsidP="00CD7055">
            <w:pPr>
              <w:pStyle w:val="TableParagraph"/>
              <w:tabs>
                <w:tab w:val="left" w:pos="828"/>
              </w:tabs>
              <w:ind w:right="536"/>
            </w:pPr>
            <w:r>
              <w:t xml:space="preserve">Health gain / transformation </w:t>
            </w:r>
          </w:p>
          <w:p w14:paraId="4130021E" w14:textId="76FA50AA" w:rsidR="00CD7055" w:rsidRDefault="00CD7055" w:rsidP="00CD7055">
            <w:pPr>
              <w:pStyle w:val="TableParagraph"/>
              <w:tabs>
                <w:tab w:val="left" w:pos="828"/>
              </w:tabs>
              <w:ind w:right="536"/>
            </w:pPr>
            <w:r>
              <w:t>Environmental</w:t>
            </w:r>
          </w:p>
          <w:p w14:paraId="11BB2228" w14:textId="7F91206B" w:rsidR="00CD7055" w:rsidRDefault="00CD7055" w:rsidP="00CD7055">
            <w:pPr>
              <w:pStyle w:val="TableParagraph"/>
              <w:tabs>
                <w:tab w:val="left" w:pos="828"/>
              </w:tabs>
              <w:ind w:right="536"/>
            </w:pPr>
            <w:r>
              <w:t>Ease of implementation</w:t>
            </w:r>
          </w:p>
          <w:p w14:paraId="731F1D3A" w14:textId="77777777" w:rsidR="00CD7055" w:rsidRDefault="00CD7055" w:rsidP="00CD7055">
            <w:pPr>
              <w:pStyle w:val="TableParagraph"/>
              <w:tabs>
                <w:tab w:val="left" w:pos="828"/>
              </w:tabs>
              <w:ind w:right="536"/>
            </w:pPr>
          </w:p>
          <w:p w14:paraId="756088D4" w14:textId="1FE7BD8D" w:rsidR="00CD7055" w:rsidRDefault="00CD7055" w:rsidP="007F4869">
            <w:pPr>
              <w:pStyle w:val="TableParagraph"/>
              <w:tabs>
                <w:tab w:val="left" w:pos="828"/>
              </w:tabs>
              <w:ind w:right="536"/>
            </w:pPr>
            <w:r>
              <w:t>Following the development of the system's Infrastructure Strategy and the production of an initial medium term capital plan for the system, the</w:t>
            </w:r>
            <w:r w:rsidR="00FD176F">
              <w:t xml:space="preserve"> </w:t>
            </w:r>
            <w:r>
              <w:t xml:space="preserve">methodology is being reviewed to ensure the </w:t>
            </w:r>
            <w:r w:rsidR="00FD176F">
              <w:t>framework</w:t>
            </w:r>
            <w:r>
              <w:t xml:space="preserve"> applied going forwards aligns to the objectives and priorities detailed in the strategy.</w:t>
            </w:r>
            <w:r w:rsidR="00FD176F">
              <w:t xml:space="preserve"> The process will remain dynamic to respond to the system's changing needs and priorities over time.</w:t>
            </w:r>
          </w:p>
          <w:p w14:paraId="2E48AD6E" w14:textId="52505909" w:rsidR="00CD7055" w:rsidRDefault="00CD7055" w:rsidP="00CD7055">
            <w:pPr>
              <w:pStyle w:val="TableParagraph"/>
              <w:tabs>
                <w:tab w:val="left" w:pos="828"/>
              </w:tabs>
              <w:ind w:right="536"/>
            </w:pPr>
          </w:p>
        </w:tc>
      </w:tr>
    </w:tbl>
    <w:p w14:paraId="607F688D" w14:textId="77777777" w:rsidR="00846321" w:rsidRDefault="00846321" w:rsidP="00846321">
      <w:pPr>
        <w:pStyle w:val="BodyText"/>
        <w:rPr>
          <w:sz w:val="20"/>
        </w:rPr>
      </w:pPr>
    </w:p>
    <w:tbl>
      <w:tblPr>
        <w:tblW w:w="0" w:type="auto"/>
        <w:tblInd w:w="11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9356"/>
      </w:tblGrid>
      <w:tr w:rsidR="00846321" w14:paraId="6DFB4767" w14:textId="77777777" w:rsidTr="007A3339">
        <w:trPr>
          <w:trHeight w:val="640"/>
        </w:trPr>
        <w:tc>
          <w:tcPr>
            <w:tcW w:w="9356" w:type="dxa"/>
            <w:shd w:val="clear" w:color="auto" w:fill="006FC0"/>
          </w:tcPr>
          <w:p w14:paraId="48B8A0BD" w14:textId="77777777" w:rsidR="00846321" w:rsidRPr="00562756" w:rsidRDefault="00846321" w:rsidP="007A3339">
            <w:pPr>
              <w:pStyle w:val="TableParagraph"/>
              <w:spacing w:before="85"/>
              <w:rPr>
                <w:b/>
                <w:sz w:val="24"/>
              </w:rPr>
            </w:pPr>
            <w:r w:rsidRPr="00562756">
              <w:rPr>
                <w:b/>
                <w:color w:val="FFFFFF"/>
                <w:sz w:val="24"/>
              </w:rPr>
              <w:t>Capital</w:t>
            </w:r>
            <w:r w:rsidRPr="00562756">
              <w:rPr>
                <w:b/>
                <w:color w:val="FFFFFF"/>
                <w:spacing w:val="-5"/>
                <w:sz w:val="24"/>
              </w:rPr>
              <w:t xml:space="preserve"> </w:t>
            </w:r>
            <w:r w:rsidRPr="00562756">
              <w:rPr>
                <w:b/>
                <w:color w:val="FFFFFF"/>
                <w:spacing w:val="-2"/>
                <w:sz w:val="24"/>
              </w:rPr>
              <w:t>planning</w:t>
            </w:r>
          </w:p>
        </w:tc>
      </w:tr>
      <w:tr w:rsidR="00846321" w:rsidRPr="003712FD" w14:paraId="436B7EF3" w14:textId="77777777" w:rsidTr="007F4869">
        <w:trPr>
          <w:trHeight w:val="693"/>
        </w:trPr>
        <w:tc>
          <w:tcPr>
            <w:tcW w:w="9356" w:type="dxa"/>
          </w:tcPr>
          <w:p w14:paraId="5BEF24F7" w14:textId="77777777" w:rsidR="00846321" w:rsidRPr="003712FD" w:rsidRDefault="00846321" w:rsidP="007A3339">
            <w:pPr>
              <w:pStyle w:val="TableParagraph"/>
              <w:spacing w:before="28"/>
              <w:ind w:left="0"/>
            </w:pPr>
          </w:p>
          <w:p w14:paraId="0069FCF6" w14:textId="726A2A39" w:rsidR="00846321" w:rsidRPr="003712FD" w:rsidRDefault="00846321" w:rsidP="006F167D">
            <w:pPr>
              <w:pStyle w:val="TableParagraph"/>
              <w:tabs>
                <w:tab w:val="left" w:pos="828"/>
              </w:tabs>
              <w:ind w:right="155"/>
            </w:pPr>
            <w:r w:rsidRPr="003712FD">
              <w:t xml:space="preserve">The main areas of </w:t>
            </w:r>
            <w:r w:rsidR="00C557C2">
              <w:t xml:space="preserve">provider </w:t>
            </w:r>
            <w:r w:rsidR="00435738" w:rsidRPr="003712FD">
              <w:t xml:space="preserve">operational capital </w:t>
            </w:r>
            <w:r w:rsidRPr="003712FD">
              <w:t xml:space="preserve">spend within the plan </w:t>
            </w:r>
            <w:r w:rsidR="00D76D03" w:rsidRPr="003712FD">
              <w:t xml:space="preserve">for 2024/25 </w:t>
            </w:r>
            <w:r w:rsidRPr="003712FD">
              <w:t>are as follows:</w:t>
            </w:r>
          </w:p>
          <w:p w14:paraId="7D1A2C0D" w14:textId="77777777" w:rsidR="00846321" w:rsidRPr="003712FD" w:rsidRDefault="00846321" w:rsidP="007A3339">
            <w:pPr>
              <w:pStyle w:val="TableParagraph"/>
              <w:tabs>
                <w:tab w:val="left" w:pos="828"/>
              </w:tabs>
              <w:ind w:left="828" w:right="155"/>
            </w:pPr>
          </w:p>
          <w:p w14:paraId="7018E1E3" w14:textId="39CDDC5D" w:rsidR="00846321" w:rsidRPr="003712FD" w:rsidRDefault="00846321" w:rsidP="007D6C00">
            <w:pPr>
              <w:pStyle w:val="TableParagraph"/>
              <w:numPr>
                <w:ilvl w:val="0"/>
                <w:numId w:val="8"/>
              </w:numPr>
              <w:spacing w:before="106"/>
              <w:rPr>
                <w:spacing w:val="-2"/>
              </w:rPr>
            </w:pPr>
            <w:r w:rsidRPr="003712FD">
              <w:rPr>
                <w:spacing w:val="-2"/>
              </w:rPr>
              <w:t>New build £</w:t>
            </w:r>
            <w:r w:rsidR="00562756" w:rsidRPr="003712FD">
              <w:rPr>
                <w:spacing w:val="-2"/>
              </w:rPr>
              <w:t>24.798m</w:t>
            </w:r>
          </w:p>
          <w:p w14:paraId="059EB0BD" w14:textId="26396CAF" w:rsidR="00846321" w:rsidRPr="003712FD" w:rsidRDefault="00846321" w:rsidP="007D6C00">
            <w:pPr>
              <w:pStyle w:val="TableParagraph"/>
              <w:numPr>
                <w:ilvl w:val="0"/>
                <w:numId w:val="8"/>
              </w:numPr>
              <w:spacing w:before="106"/>
              <w:rPr>
                <w:spacing w:val="-2"/>
              </w:rPr>
            </w:pPr>
            <w:r w:rsidRPr="003712FD">
              <w:rPr>
                <w:spacing w:val="-2"/>
              </w:rPr>
              <w:t>Equipment £</w:t>
            </w:r>
            <w:r w:rsidR="00562756" w:rsidRPr="003712FD">
              <w:rPr>
                <w:spacing w:val="-2"/>
              </w:rPr>
              <w:t>4.065m</w:t>
            </w:r>
          </w:p>
          <w:p w14:paraId="1C178C9A" w14:textId="1330340D" w:rsidR="00562756" w:rsidRPr="003712FD" w:rsidRDefault="00562756" w:rsidP="007D6C00">
            <w:pPr>
              <w:pStyle w:val="TableParagraph"/>
              <w:numPr>
                <w:ilvl w:val="0"/>
                <w:numId w:val="8"/>
              </w:numPr>
              <w:spacing w:before="106"/>
              <w:rPr>
                <w:spacing w:val="-2"/>
              </w:rPr>
            </w:pPr>
            <w:r w:rsidRPr="003712FD">
              <w:rPr>
                <w:spacing w:val="-2"/>
              </w:rPr>
              <w:t>Backlog Maintenance £4.961m</w:t>
            </w:r>
          </w:p>
          <w:p w14:paraId="33EEEC19" w14:textId="43B27AED" w:rsidR="00846321" w:rsidRPr="003712FD" w:rsidRDefault="00846321" w:rsidP="007D6C00">
            <w:pPr>
              <w:pStyle w:val="TableParagraph"/>
              <w:numPr>
                <w:ilvl w:val="0"/>
                <w:numId w:val="8"/>
              </w:numPr>
              <w:spacing w:before="106"/>
              <w:rPr>
                <w:spacing w:val="-2"/>
              </w:rPr>
            </w:pPr>
            <w:r w:rsidRPr="003712FD">
              <w:rPr>
                <w:spacing w:val="-2"/>
              </w:rPr>
              <w:t>Routine maintenance £</w:t>
            </w:r>
            <w:r w:rsidR="00562756" w:rsidRPr="003712FD">
              <w:rPr>
                <w:spacing w:val="-2"/>
              </w:rPr>
              <w:t>1.697m</w:t>
            </w:r>
          </w:p>
          <w:p w14:paraId="6FE43FB7" w14:textId="0F0198E7" w:rsidR="00846321" w:rsidRPr="003712FD" w:rsidRDefault="00846321" w:rsidP="007D6C00">
            <w:pPr>
              <w:pStyle w:val="TableParagraph"/>
              <w:numPr>
                <w:ilvl w:val="0"/>
                <w:numId w:val="8"/>
              </w:numPr>
              <w:spacing w:before="106"/>
              <w:rPr>
                <w:spacing w:val="-2"/>
              </w:rPr>
            </w:pPr>
            <w:r w:rsidRPr="003712FD">
              <w:rPr>
                <w:spacing w:val="-2"/>
              </w:rPr>
              <w:t>IT £</w:t>
            </w:r>
            <w:r w:rsidR="00562756" w:rsidRPr="003712FD">
              <w:rPr>
                <w:spacing w:val="-2"/>
              </w:rPr>
              <w:t>9.624m</w:t>
            </w:r>
          </w:p>
          <w:p w14:paraId="12401E37" w14:textId="64DA9991" w:rsidR="00435738" w:rsidRPr="003712FD" w:rsidRDefault="00435738" w:rsidP="007D6C00">
            <w:pPr>
              <w:pStyle w:val="TableParagraph"/>
              <w:numPr>
                <w:ilvl w:val="0"/>
                <w:numId w:val="8"/>
              </w:numPr>
              <w:spacing w:before="106"/>
              <w:rPr>
                <w:spacing w:val="-2"/>
              </w:rPr>
            </w:pPr>
            <w:r w:rsidRPr="003712FD">
              <w:rPr>
                <w:spacing w:val="-2"/>
              </w:rPr>
              <w:t>Ambulance Fleet £4.682m</w:t>
            </w:r>
          </w:p>
          <w:p w14:paraId="563910D8" w14:textId="6CBE2819" w:rsidR="00435738" w:rsidRPr="003712FD" w:rsidRDefault="00435738" w:rsidP="007D6C00">
            <w:pPr>
              <w:pStyle w:val="TableParagraph"/>
              <w:numPr>
                <w:ilvl w:val="0"/>
                <w:numId w:val="8"/>
              </w:numPr>
              <w:spacing w:before="106"/>
              <w:rPr>
                <w:spacing w:val="-2"/>
              </w:rPr>
            </w:pPr>
            <w:r w:rsidRPr="003712FD">
              <w:rPr>
                <w:spacing w:val="-2"/>
              </w:rPr>
              <w:t>Other £</w:t>
            </w:r>
            <w:r w:rsidR="00C557C2">
              <w:rPr>
                <w:spacing w:val="-2"/>
              </w:rPr>
              <w:t>2.346</w:t>
            </w:r>
            <w:r w:rsidRPr="003712FD">
              <w:rPr>
                <w:spacing w:val="-2"/>
              </w:rPr>
              <w:t>m</w:t>
            </w:r>
          </w:p>
          <w:p w14:paraId="51257AB2" w14:textId="77777777" w:rsidR="00846321" w:rsidRPr="003712FD" w:rsidRDefault="00846321" w:rsidP="007A3339">
            <w:pPr>
              <w:pStyle w:val="TableParagraph"/>
              <w:tabs>
                <w:tab w:val="left" w:pos="828"/>
              </w:tabs>
              <w:ind w:left="1672" w:right="155"/>
            </w:pPr>
          </w:p>
          <w:p w14:paraId="27F9D0EB" w14:textId="112ED6FD" w:rsidR="00846321" w:rsidRPr="003712FD" w:rsidRDefault="009D5B49" w:rsidP="00562756">
            <w:pPr>
              <w:pStyle w:val="TableParagraph"/>
              <w:tabs>
                <w:tab w:val="left" w:pos="828"/>
              </w:tabs>
              <w:ind w:right="120"/>
            </w:pPr>
            <w:r w:rsidRPr="003712FD">
              <w:t xml:space="preserve">Our current backlog maintenance across our three Acute sites is </w:t>
            </w:r>
            <w:r w:rsidR="000231D4" w:rsidRPr="003712FD">
              <w:t>approximately £32.5m of which £10m is classified as high risk.</w:t>
            </w:r>
            <w:r w:rsidR="006B5728" w:rsidRPr="003712FD">
              <w:t xml:space="preserve"> Across our eight Community Hospital sites the level of backlog maintenance is estimated to be £20m.</w:t>
            </w:r>
          </w:p>
          <w:p w14:paraId="40C43D2B" w14:textId="77777777" w:rsidR="009D5B49" w:rsidRPr="003712FD" w:rsidRDefault="009D5B49" w:rsidP="003712FD">
            <w:pPr>
              <w:pStyle w:val="TableParagraph"/>
              <w:tabs>
                <w:tab w:val="left" w:pos="828"/>
              </w:tabs>
              <w:ind w:left="0" w:right="120"/>
            </w:pPr>
          </w:p>
        </w:tc>
      </w:tr>
    </w:tbl>
    <w:p w14:paraId="439A3643" w14:textId="77777777" w:rsidR="00846321" w:rsidRDefault="00846321" w:rsidP="00846321"/>
    <w:tbl>
      <w:tblPr>
        <w:tblW w:w="0" w:type="auto"/>
        <w:tblInd w:w="11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9356"/>
      </w:tblGrid>
      <w:tr w:rsidR="003712FD" w:rsidRPr="003712FD" w14:paraId="6D408E4A" w14:textId="77777777" w:rsidTr="007A3339">
        <w:trPr>
          <w:trHeight w:val="640"/>
        </w:trPr>
        <w:tc>
          <w:tcPr>
            <w:tcW w:w="9356" w:type="dxa"/>
            <w:shd w:val="clear" w:color="auto" w:fill="006FC0"/>
          </w:tcPr>
          <w:p w14:paraId="1ABA0438" w14:textId="2CE1CEEB" w:rsidR="00846321" w:rsidRPr="003712FD" w:rsidRDefault="003712FD" w:rsidP="007A3339">
            <w:pPr>
              <w:pStyle w:val="TableParagraph"/>
              <w:spacing w:before="85"/>
              <w:rPr>
                <w:b/>
                <w:sz w:val="24"/>
              </w:rPr>
            </w:pPr>
            <w:r w:rsidRPr="003712FD">
              <w:rPr>
                <w:b/>
                <w:sz w:val="24"/>
              </w:rPr>
              <w:t>O</w:t>
            </w:r>
            <w:r w:rsidR="00846321" w:rsidRPr="003712FD">
              <w:rPr>
                <w:b/>
                <w:sz w:val="24"/>
              </w:rPr>
              <w:t>verview</w:t>
            </w:r>
            <w:r w:rsidR="00846321" w:rsidRPr="003712FD">
              <w:rPr>
                <w:b/>
                <w:spacing w:val="-2"/>
                <w:sz w:val="24"/>
              </w:rPr>
              <w:t xml:space="preserve"> </w:t>
            </w:r>
            <w:r w:rsidR="00846321" w:rsidRPr="003712FD">
              <w:rPr>
                <w:b/>
                <w:sz w:val="24"/>
              </w:rPr>
              <w:t>of</w:t>
            </w:r>
            <w:r w:rsidR="00846321" w:rsidRPr="003712FD">
              <w:rPr>
                <w:b/>
                <w:spacing w:val="-1"/>
                <w:sz w:val="24"/>
              </w:rPr>
              <w:t xml:space="preserve"> </w:t>
            </w:r>
            <w:r w:rsidR="00846321" w:rsidRPr="003712FD">
              <w:rPr>
                <w:b/>
                <w:sz w:val="24"/>
              </w:rPr>
              <w:t>ongoing</w:t>
            </w:r>
            <w:r w:rsidR="00846321" w:rsidRPr="003712FD">
              <w:rPr>
                <w:b/>
                <w:spacing w:val="-3"/>
                <w:sz w:val="24"/>
              </w:rPr>
              <w:t xml:space="preserve"> </w:t>
            </w:r>
            <w:r w:rsidR="00846321" w:rsidRPr="003712FD">
              <w:rPr>
                <w:b/>
                <w:sz w:val="24"/>
              </w:rPr>
              <w:t>scheme</w:t>
            </w:r>
            <w:r w:rsidR="00846321" w:rsidRPr="003712FD">
              <w:rPr>
                <w:b/>
                <w:spacing w:val="-1"/>
                <w:sz w:val="24"/>
              </w:rPr>
              <w:t xml:space="preserve"> </w:t>
            </w:r>
            <w:r w:rsidR="00846321" w:rsidRPr="003712FD">
              <w:rPr>
                <w:b/>
                <w:spacing w:val="-2"/>
                <w:sz w:val="24"/>
              </w:rPr>
              <w:t>progression</w:t>
            </w:r>
          </w:p>
        </w:tc>
      </w:tr>
      <w:tr w:rsidR="00846321" w:rsidRPr="003712FD" w14:paraId="2F2714E4" w14:textId="77777777" w:rsidTr="007A3339">
        <w:trPr>
          <w:trHeight w:val="4256"/>
        </w:trPr>
        <w:tc>
          <w:tcPr>
            <w:tcW w:w="9356" w:type="dxa"/>
          </w:tcPr>
          <w:p w14:paraId="60E07C60" w14:textId="77777777" w:rsidR="00846321" w:rsidRDefault="00EC0DD2" w:rsidP="00CE4716">
            <w:pPr>
              <w:pStyle w:val="TableParagraph"/>
              <w:spacing w:before="106"/>
              <w:rPr>
                <w:spacing w:val="-2"/>
              </w:rPr>
            </w:pPr>
            <w:r w:rsidRPr="003712FD">
              <w:rPr>
                <w:spacing w:val="-2"/>
              </w:rPr>
              <w:t>The system's investment plans include the continuation of some significant schemes including:-</w:t>
            </w:r>
          </w:p>
          <w:p w14:paraId="09CB3E07" w14:textId="77777777" w:rsidR="00D5667C" w:rsidRPr="003712FD" w:rsidRDefault="00D5667C" w:rsidP="00CE4716">
            <w:pPr>
              <w:pStyle w:val="TableParagraph"/>
              <w:spacing w:before="106"/>
              <w:rPr>
                <w:spacing w:val="-2"/>
              </w:rPr>
            </w:pPr>
          </w:p>
          <w:p w14:paraId="2E1A66CE" w14:textId="124EB3D2" w:rsidR="00EC0DD2" w:rsidRDefault="00EC0DD2" w:rsidP="00EC0DD2">
            <w:pPr>
              <w:pStyle w:val="TableParagraph"/>
              <w:numPr>
                <w:ilvl w:val="0"/>
                <w:numId w:val="12"/>
              </w:numPr>
              <w:spacing w:before="106"/>
              <w:rPr>
                <w:spacing w:val="-2"/>
              </w:rPr>
            </w:pPr>
            <w:r w:rsidRPr="003712FD">
              <w:rPr>
                <w:spacing w:val="-2"/>
              </w:rPr>
              <w:t>New health developments in Bakewell and Belper</w:t>
            </w:r>
            <w:r w:rsidR="0006009D" w:rsidRPr="003712FD">
              <w:rPr>
                <w:spacing w:val="-2"/>
              </w:rPr>
              <w:t xml:space="preserve"> - </w:t>
            </w:r>
            <w:r w:rsidR="009C4166" w:rsidRPr="003712FD">
              <w:rPr>
                <w:spacing w:val="-2"/>
              </w:rPr>
              <w:t>These schemes are funded by a combination of national and local funding and a</w:t>
            </w:r>
            <w:r w:rsidR="0006009D" w:rsidRPr="003712FD">
              <w:rPr>
                <w:spacing w:val="-2"/>
              </w:rPr>
              <w:t>ddress key issues of backlog maintenance by replacing 19</w:t>
            </w:r>
            <w:r w:rsidR="0006009D" w:rsidRPr="003712FD">
              <w:rPr>
                <w:spacing w:val="-2"/>
                <w:vertAlign w:val="superscript"/>
              </w:rPr>
              <w:t>th</w:t>
            </w:r>
            <w:r w:rsidR="0006009D" w:rsidRPr="003712FD">
              <w:rPr>
                <w:spacing w:val="-2"/>
              </w:rPr>
              <w:t xml:space="preserve"> century </w:t>
            </w:r>
            <w:r w:rsidR="00D515AC" w:rsidRPr="003712FD">
              <w:rPr>
                <w:spacing w:val="-2"/>
              </w:rPr>
              <w:t>estates with modern fit for purpose facilities</w:t>
            </w:r>
            <w:r w:rsidR="003F4DD0">
              <w:rPr>
                <w:spacing w:val="-2"/>
              </w:rPr>
              <w:t xml:space="preserve"> which are more cost effective</w:t>
            </w:r>
            <w:r w:rsidR="006C2DA7">
              <w:rPr>
                <w:spacing w:val="-2"/>
              </w:rPr>
              <w:t xml:space="preserve"> and providing high quality services closer to communities.</w:t>
            </w:r>
          </w:p>
          <w:p w14:paraId="67777F4B" w14:textId="77777777" w:rsidR="004F7FB3" w:rsidRPr="003712FD" w:rsidRDefault="004F7FB3" w:rsidP="004F7FB3">
            <w:pPr>
              <w:pStyle w:val="TableParagraph"/>
              <w:spacing w:before="106"/>
              <w:ind w:left="587"/>
              <w:rPr>
                <w:spacing w:val="-2"/>
              </w:rPr>
            </w:pPr>
          </w:p>
          <w:p w14:paraId="13E5F50D" w14:textId="730978D9" w:rsidR="004F7FB3" w:rsidRDefault="00EC0DD2" w:rsidP="004F7FB3">
            <w:pPr>
              <w:pStyle w:val="TableParagraph"/>
              <w:numPr>
                <w:ilvl w:val="0"/>
                <w:numId w:val="12"/>
              </w:numPr>
              <w:spacing w:before="106"/>
              <w:rPr>
                <w:spacing w:val="-2"/>
              </w:rPr>
            </w:pPr>
            <w:r w:rsidRPr="003712FD">
              <w:rPr>
                <w:spacing w:val="-2"/>
              </w:rPr>
              <w:t xml:space="preserve">Mental Health Dormitory eradication </w:t>
            </w:r>
            <w:r w:rsidR="009B2FD6" w:rsidRPr="003712FD">
              <w:rPr>
                <w:spacing w:val="-2"/>
              </w:rPr>
              <w:t xml:space="preserve">across Derby and Derbyshire </w:t>
            </w:r>
            <w:r w:rsidR="00FA21FB" w:rsidRPr="003712FD">
              <w:rPr>
                <w:spacing w:val="-2"/>
              </w:rPr>
              <w:t xml:space="preserve">- The "Making Room </w:t>
            </w:r>
            <w:proofErr w:type="spellStart"/>
            <w:r w:rsidR="00FA21FB" w:rsidRPr="003712FD">
              <w:rPr>
                <w:spacing w:val="-2"/>
              </w:rPr>
              <w:t>fir</w:t>
            </w:r>
            <w:proofErr w:type="spellEnd"/>
            <w:r w:rsidR="00FA21FB" w:rsidRPr="003712FD">
              <w:rPr>
                <w:spacing w:val="-2"/>
              </w:rPr>
              <w:t xml:space="preserve"> Dignity" </w:t>
            </w:r>
            <w:proofErr w:type="spellStart"/>
            <w:r w:rsidR="00FA21FB" w:rsidRPr="003712FD">
              <w:rPr>
                <w:spacing w:val="-2"/>
              </w:rPr>
              <w:t>programme</w:t>
            </w:r>
            <w:proofErr w:type="spellEnd"/>
            <w:r w:rsidR="00FA21FB" w:rsidRPr="003712FD">
              <w:rPr>
                <w:spacing w:val="-2"/>
              </w:rPr>
              <w:t xml:space="preserve"> </w:t>
            </w:r>
            <w:r w:rsidR="009D1E81">
              <w:rPr>
                <w:spacing w:val="-2"/>
              </w:rPr>
              <w:t>is a major investment into mental health inpatient facilities in Derbyshire</w:t>
            </w:r>
            <w:r w:rsidR="007E0D99">
              <w:rPr>
                <w:spacing w:val="-2"/>
              </w:rPr>
              <w:t xml:space="preserve"> and forms part of the national eradication of dormitory </w:t>
            </w:r>
            <w:proofErr w:type="spellStart"/>
            <w:r w:rsidR="007E0D99">
              <w:rPr>
                <w:spacing w:val="-2"/>
              </w:rPr>
              <w:t>programme</w:t>
            </w:r>
            <w:proofErr w:type="spellEnd"/>
            <w:r w:rsidR="004F7FB3">
              <w:rPr>
                <w:spacing w:val="-2"/>
              </w:rPr>
              <w:t>.</w:t>
            </w:r>
          </w:p>
          <w:p w14:paraId="11ADB2DA" w14:textId="77777777" w:rsidR="004F7FB3" w:rsidRPr="004F7FB3" w:rsidRDefault="004F7FB3" w:rsidP="004F7FB3">
            <w:pPr>
              <w:pStyle w:val="TableParagraph"/>
              <w:spacing w:before="106"/>
              <w:ind w:left="587"/>
              <w:rPr>
                <w:spacing w:val="-2"/>
              </w:rPr>
            </w:pPr>
          </w:p>
          <w:p w14:paraId="15DD23F1" w14:textId="6403554D" w:rsidR="004F7FB3" w:rsidRPr="004F7FB3" w:rsidRDefault="004F7FB3" w:rsidP="004F7FB3">
            <w:pPr>
              <w:autoSpaceDE w:val="0"/>
              <w:autoSpaceDN w:val="0"/>
              <w:adjustRightInd w:val="0"/>
              <w:spacing w:after="0" w:line="240" w:lineRule="auto"/>
              <w:rPr>
                <w:sz w:val="22"/>
              </w:rPr>
            </w:pPr>
            <w:r w:rsidRPr="004F7FB3">
              <w:rPr>
                <w:spacing w:val="-2"/>
                <w:sz w:val="22"/>
              </w:rPr>
              <w:t xml:space="preserve">- </w:t>
            </w:r>
            <w:r>
              <w:rPr>
                <w:spacing w:val="-2"/>
                <w:sz w:val="22"/>
              </w:rPr>
              <w:t xml:space="preserve">        </w:t>
            </w:r>
            <w:r w:rsidRPr="004F7FB3">
              <w:rPr>
                <w:sz w:val="22"/>
              </w:rPr>
              <w:t>Redesign of acute front door services at Derby Royal, this will facilitate the delivery of</w:t>
            </w:r>
          </w:p>
          <w:p w14:paraId="5FB88F85" w14:textId="3C94018F" w:rsidR="004F7FB3" w:rsidRPr="004F7FB3" w:rsidRDefault="004F7FB3" w:rsidP="004F7FB3">
            <w:pPr>
              <w:autoSpaceDE w:val="0"/>
              <w:autoSpaceDN w:val="0"/>
              <w:adjustRightInd w:val="0"/>
              <w:spacing w:after="0" w:line="240" w:lineRule="auto"/>
              <w:rPr>
                <w:sz w:val="22"/>
              </w:rPr>
            </w:pPr>
            <w:r w:rsidRPr="004F7FB3">
              <w:rPr>
                <w:sz w:val="22"/>
              </w:rPr>
              <w:t xml:space="preserve">          comprehensive patient assessment and on-going quality urgent care to the residents of</w:t>
            </w:r>
          </w:p>
          <w:p w14:paraId="2941ED2B" w14:textId="679EEA73" w:rsidR="00EC0DD2" w:rsidRPr="004F7FB3" w:rsidRDefault="004F7FB3" w:rsidP="004F7FB3">
            <w:pPr>
              <w:pStyle w:val="TableParagraph"/>
              <w:spacing w:before="106"/>
              <w:ind w:left="0"/>
              <w:rPr>
                <w:spacing w:val="-2"/>
              </w:rPr>
            </w:pPr>
            <w:r w:rsidRPr="004F7FB3">
              <w:rPr>
                <w:spacing w:val="-2"/>
              </w:rPr>
              <w:t xml:space="preserve">           South Derbyshire.</w:t>
            </w:r>
          </w:p>
          <w:p w14:paraId="32AFAB04" w14:textId="0F64768D" w:rsidR="00963334" w:rsidRDefault="001762E0" w:rsidP="006D0126">
            <w:pPr>
              <w:pStyle w:val="TableParagraph"/>
              <w:numPr>
                <w:ilvl w:val="0"/>
                <w:numId w:val="12"/>
              </w:numPr>
              <w:spacing w:before="106"/>
              <w:rPr>
                <w:spacing w:val="-2"/>
              </w:rPr>
            </w:pPr>
            <w:r>
              <w:rPr>
                <w:spacing w:val="-2"/>
              </w:rPr>
              <w:t xml:space="preserve">Implementation of the </w:t>
            </w:r>
            <w:r w:rsidR="00C35177">
              <w:rPr>
                <w:spacing w:val="-2"/>
              </w:rPr>
              <w:t>Electronic Patient Record at our two acute trusts</w:t>
            </w:r>
            <w:r>
              <w:rPr>
                <w:spacing w:val="-2"/>
              </w:rPr>
              <w:t xml:space="preserve"> </w:t>
            </w:r>
            <w:r w:rsidR="00C35177">
              <w:rPr>
                <w:spacing w:val="-2"/>
              </w:rPr>
              <w:t xml:space="preserve"> </w:t>
            </w:r>
          </w:p>
          <w:p w14:paraId="0089954D" w14:textId="02C4BDC8" w:rsidR="00165A1A" w:rsidRPr="00D91356" w:rsidRDefault="00D91356" w:rsidP="00B94F42">
            <w:pPr>
              <w:pStyle w:val="TableParagraph"/>
              <w:numPr>
                <w:ilvl w:val="0"/>
                <w:numId w:val="12"/>
              </w:numPr>
              <w:spacing w:before="106"/>
              <w:rPr>
                <w:spacing w:val="-2"/>
              </w:rPr>
            </w:pPr>
            <w:proofErr w:type="spellStart"/>
            <w:r w:rsidRPr="00D91356">
              <w:rPr>
                <w:spacing w:val="-2"/>
              </w:rPr>
              <w:t>Outwoods</w:t>
            </w:r>
            <w:proofErr w:type="spellEnd"/>
            <w:r w:rsidRPr="00D91356">
              <w:rPr>
                <w:spacing w:val="-2"/>
              </w:rPr>
              <w:t xml:space="preserve"> Scheme - </w:t>
            </w:r>
            <w:r>
              <w:rPr>
                <w:spacing w:val="-2"/>
              </w:rPr>
              <w:t>Construction</w:t>
            </w:r>
            <w:r w:rsidRPr="00D91356">
              <w:rPr>
                <w:spacing w:val="-2"/>
              </w:rPr>
              <w:t xml:space="preserve"> of a Primary Care Centre and </w:t>
            </w:r>
            <w:r>
              <w:rPr>
                <w:spacing w:val="-2"/>
              </w:rPr>
              <w:t xml:space="preserve">additional space for UHDB use </w:t>
            </w:r>
          </w:p>
          <w:p w14:paraId="51687396" w14:textId="6E5B44A6" w:rsidR="00165A1A" w:rsidRPr="003712FD" w:rsidRDefault="00165A1A" w:rsidP="00165A1A">
            <w:pPr>
              <w:pStyle w:val="TableParagraph"/>
              <w:spacing w:before="106"/>
              <w:rPr>
                <w:spacing w:val="-2"/>
              </w:rPr>
            </w:pPr>
          </w:p>
        </w:tc>
      </w:tr>
    </w:tbl>
    <w:p w14:paraId="1438E7BB" w14:textId="77777777" w:rsidR="006F167D" w:rsidRPr="003712FD" w:rsidRDefault="006F167D" w:rsidP="00846321">
      <w:pPr>
        <w:pStyle w:val="BodyText"/>
        <w:spacing w:before="191"/>
        <w:rPr>
          <w:sz w:val="20"/>
        </w:rPr>
      </w:pPr>
    </w:p>
    <w:tbl>
      <w:tblPr>
        <w:tblW w:w="0" w:type="auto"/>
        <w:tblInd w:w="11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9356"/>
      </w:tblGrid>
      <w:tr w:rsidR="003712FD" w:rsidRPr="003712FD" w14:paraId="2E58785C" w14:textId="77777777" w:rsidTr="007A3339">
        <w:trPr>
          <w:trHeight w:val="639"/>
        </w:trPr>
        <w:tc>
          <w:tcPr>
            <w:tcW w:w="9356" w:type="dxa"/>
            <w:shd w:val="clear" w:color="auto" w:fill="006FC0"/>
          </w:tcPr>
          <w:p w14:paraId="36B73AD3" w14:textId="77777777" w:rsidR="00846321" w:rsidRPr="003712FD" w:rsidRDefault="00846321" w:rsidP="007A3339">
            <w:pPr>
              <w:pStyle w:val="TableParagraph"/>
              <w:spacing w:before="84"/>
              <w:rPr>
                <w:b/>
                <w:sz w:val="24"/>
              </w:rPr>
            </w:pPr>
            <w:r w:rsidRPr="003712FD">
              <w:rPr>
                <w:b/>
                <w:sz w:val="24"/>
              </w:rPr>
              <w:t>Risks</w:t>
            </w:r>
            <w:r w:rsidRPr="003712FD">
              <w:rPr>
                <w:b/>
                <w:spacing w:val="-10"/>
                <w:sz w:val="24"/>
              </w:rPr>
              <w:t xml:space="preserve"> </w:t>
            </w:r>
            <w:r w:rsidRPr="003712FD">
              <w:rPr>
                <w:b/>
                <w:sz w:val="24"/>
              </w:rPr>
              <w:t>and</w:t>
            </w:r>
            <w:r w:rsidRPr="003712FD">
              <w:rPr>
                <w:b/>
                <w:spacing w:val="-8"/>
                <w:sz w:val="24"/>
              </w:rPr>
              <w:t xml:space="preserve"> </w:t>
            </w:r>
            <w:r w:rsidRPr="003712FD">
              <w:rPr>
                <w:b/>
                <w:spacing w:val="-2"/>
                <w:sz w:val="24"/>
              </w:rPr>
              <w:t>contingencies</w:t>
            </w:r>
          </w:p>
        </w:tc>
      </w:tr>
      <w:tr w:rsidR="003712FD" w:rsidRPr="00E12707" w14:paraId="310A7A45" w14:textId="77777777" w:rsidTr="006F167D">
        <w:trPr>
          <w:trHeight w:val="2460"/>
        </w:trPr>
        <w:tc>
          <w:tcPr>
            <w:tcW w:w="9356" w:type="dxa"/>
          </w:tcPr>
          <w:p w14:paraId="3F074A3B" w14:textId="77777777" w:rsidR="00963334" w:rsidRPr="00E12707" w:rsidRDefault="00963334" w:rsidP="006F167D">
            <w:pPr>
              <w:pStyle w:val="TableParagraph"/>
              <w:tabs>
                <w:tab w:val="left" w:pos="828"/>
              </w:tabs>
              <w:spacing w:line="269" w:lineRule="exact"/>
              <w:ind w:left="0"/>
            </w:pPr>
            <w:r w:rsidRPr="00E12707">
              <w:t>The most significant risks to the delivery of the system's capital plans have been identified as :-</w:t>
            </w:r>
          </w:p>
          <w:p w14:paraId="3DB0E094" w14:textId="77777777" w:rsidR="00963334" w:rsidRPr="00E12707" w:rsidRDefault="00963334" w:rsidP="006F167D">
            <w:pPr>
              <w:pStyle w:val="TableParagraph"/>
              <w:tabs>
                <w:tab w:val="left" w:pos="828"/>
              </w:tabs>
              <w:spacing w:line="269" w:lineRule="exact"/>
              <w:ind w:left="0"/>
            </w:pPr>
          </w:p>
          <w:p w14:paraId="23076AC4" w14:textId="1269A49B" w:rsidR="00D83CAC" w:rsidRPr="00E12707" w:rsidRDefault="00D875D0" w:rsidP="00963334">
            <w:pPr>
              <w:pStyle w:val="TableParagraph"/>
              <w:numPr>
                <w:ilvl w:val="0"/>
                <w:numId w:val="12"/>
              </w:numPr>
              <w:tabs>
                <w:tab w:val="left" w:pos="828"/>
              </w:tabs>
              <w:spacing w:line="269" w:lineRule="exact"/>
            </w:pPr>
            <w:r w:rsidRPr="00E12707">
              <w:t xml:space="preserve">Increasing </w:t>
            </w:r>
            <w:r w:rsidR="00963334" w:rsidRPr="00E12707">
              <w:t>I</w:t>
            </w:r>
            <w:r w:rsidR="00D83CAC" w:rsidRPr="00E12707">
              <w:t>nflation pressures</w:t>
            </w:r>
            <w:r w:rsidR="00D43EF1" w:rsidRPr="00E12707">
              <w:t xml:space="preserve"> above those planned for </w:t>
            </w:r>
          </w:p>
          <w:p w14:paraId="39294F62" w14:textId="478E0C78" w:rsidR="00D83CAC" w:rsidRPr="00E12707" w:rsidRDefault="00963334" w:rsidP="00963334">
            <w:pPr>
              <w:pStyle w:val="TableParagraph"/>
              <w:numPr>
                <w:ilvl w:val="0"/>
                <w:numId w:val="12"/>
              </w:numPr>
              <w:tabs>
                <w:tab w:val="left" w:pos="828"/>
              </w:tabs>
              <w:spacing w:line="269" w:lineRule="exact"/>
            </w:pPr>
            <w:r w:rsidRPr="00E12707">
              <w:t xml:space="preserve">Impact of IFRS16 in excess of funding allocated </w:t>
            </w:r>
          </w:p>
          <w:p w14:paraId="7A6233B3" w14:textId="514B4944" w:rsidR="00D43EF1" w:rsidRPr="00E12707" w:rsidRDefault="00963334" w:rsidP="00963334">
            <w:pPr>
              <w:pStyle w:val="TableParagraph"/>
              <w:numPr>
                <w:ilvl w:val="0"/>
                <w:numId w:val="12"/>
              </w:numPr>
              <w:tabs>
                <w:tab w:val="left" w:pos="828"/>
              </w:tabs>
              <w:spacing w:line="269" w:lineRule="exact"/>
            </w:pPr>
            <w:r w:rsidRPr="00E12707">
              <w:t>Risk of o</w:t>
            </w:r>
            <w:r w:rsidR="00D43EF1" w:rsidRPr="00E12707">
              <w:t xml:space="preserve">verspend on major capital scheme within Derbyshire Healthcare NHS Foundation Trust linked to the eradication of </w:t>
            </w:r>
            <w:r w:rsidR="00FD176F" w:rsidRPr="00E12707">
              <w:t>dormitories</w:t>
            </w:r>
            <w:r w:rsidR="00D43EF1" w:rsidRPr="00E12707">
              <w:t xml:space="preserve"> </w:t>
            </w:r>
          </w:p>
          <w:p w14:paraId="43C93C08" w14:textId="77777777" w:rsidR="00846321" w:rsidRPr="00E12707" w:rsidRDefault="00D43EF1" w:rsidP="00963334">
            <w:pPr>
              <w:pStyle w:val="TableParagraph"/>
              <w:numPr>
                <w:ilvl w:val="0"/>
                <w:numId w:val="12"/>
              </w:numPr>
              <w:tabs>
                <w:tab w:val="left" w:pos="828"/>
              </w:tabs>
              <w:spacing w:line="269" w:lineRule="exact"/>
            </w:pPr>
            <w:r w:rsidRPr="00E12707">
              <w:t>5% planning over-commitment</w:t>
            </w:r>
          </w:p>
          <w:p w14:paraId="463734BD" w14:textId="4C68B1B4" w:rsidR="00D73327" w:rsidRPr="00E12707" w:rsidRDefault="00D73327" w:rsidP="00963334">
            <w:pPr>
              <w:pStyle w:val="TableParagraph"/>
              <w:numPr>
                <w:ilvl w:val="0"/>
                <w:numId w:val="12"/>
              </w:numPr>
              <w:tabs>
                <w:tab w:val="left" w:pos="828"/>
              </w:tabs>
              <w:spacing w:line="269" w:lineRule="exact"/>
            </w:pPr>
            <w:r w:rsidRPr="00E12707">
              <w:t xml:space="preserve">Unavoidable slippage on major schemes in year </w:t>
            </w:r>
          </w:p>
          <w:p w14:paraId="1BBF29F2" w14:textId="6ECC4C40" w:rsidR="00D875D0" w:rsidRPr="00E12707" w:rsidRDefault="00D875D0" w:rsidP="00963334">
            <w:pPr>
              <w:pStyle w:val="TableParagraph"/>
              <w:numPr>
                <w:ilvl w:val="0"/>
                <w:numId w:val="12"/>
              </w:numPr>
              <w:tabs>
                <w:tab w:val="left" w:pos="828"/>
              </w:tabs>
              <w:spacing w:line="269" w:lineRule="exact"/>
            </w:pPr>
            <w:r w:rsidRPr="00E12707">
              <w:t>PFI risk?</w:t>
            </w:r>
          </w:p>
          <w:p w14:paraId="1263940E" w14:textId="77777777" w:rsidR="0099743D" w:rsidRPr="00E12707" w:rsidRDefault="0099743D" w:rsidP="0099743D">
            <w:pPr>
              <w:pStyle w:val="TableParagraph"/>
              <w:tabs>
                <w:tab w:val="left" w:pos="828"/>
              </w:tabs>
              <w:spacing w:line="269" w:lineRule="exact"/>
            </w:pPr>
          </w:p>
          <w:p w14:paraId="6EBB8A63" w14:textId="77777777" w:rsidR="0099743D" w:rsidRPr="00E12707" w:rsidRDefault="00471A45" w:rsidP="0099743D">
            <w:pPr>
              <w:pStyle w:val="TableParagraph"/>
              <w:tabs>
                <w:tab w:val="left" w:pos="828"/>
              </w:tabs>
              <w:spacing w:line="269" w:lineRule="exact"/>
            </w:pPr>
            <w:r w:rsidRPr="00E12707">
              <w:t>The system's capital planning and prioritisation group is responsible for overseeing the delivery of the capital programme, effectively identifying and managing in year risks and ensuring that the programme is delivered within the resources available to the system.</w:t>
            </w:r>
          </w:p>
          <w:p w14:paraId="6F57FAEC" w14:textId="77777777" w:rsidR="007A17AF" w:rsidRPr="00E12707" w:rsidRDefault="007A17AF" w:rsidP="0099743D">
            <w:pPr>
              <w:pStyle w:val="TableParagraph"/>
              <w:tabs>
                <w:tab w:val="left" w:pos="828"/>
              </w:tabs>
              <w:spacing w:line="269" w:lineRule="exact"/>
            </w:pPr>
          </w:p>
          <w:p w14:paraId="59D08EFE" w14:textId="01C683DB" w:rsidR="007A17AF" w:rsidRPr="00E12707" w:rsidRDefault="00014B59" w:rsidP="00014B59">
            <w:pPr>
              <w:pStyle w:val="TableParagraph"/>
              <w:tabs>
                <w:tab w:val="left" w:pos="828"/>
              </w:tabs>
              <w:spacing w:line="269" w:lineRule="exact"/>
              <w:ind w:left="0"/>
            </w:pPr>
            <w:r w:rsidRPr="00E12707">
              <w:t>The system will continue to carefully monitor these risks throughout the year and regular reports will be taken to the  Finance, Estates and Digital Committee as well as to sovereign Boards..</w:t>
            </w:r>
          </w:p>
        </w:tc>
      </w:tr>
    </w:tbl>
    <w:p w14:paraId="7A01744B" w14:textId="77777777" w:rsidR="00846321" w:rsidRDefault="00846321" w:rsidP="00846321">
      <w:pPr>
        <w:pStyle w:val="BodyText"/>
        <w:rPr>
          <w:sz w:val="20"/>
        </w:rPr>
      </w:pPr>
    </w:p>
    <w:tbl>
      <w:tblPr>
        <w:tblW w:w="0" w:type="auto"/>
        <w:tblInd w:w="11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9356"/>
      </w:tblGrid>
      <w:tr w:rsidR="00846321" w14:paraId="2893D277" w14:textId="77777777" w:rsidTr="007A3339">
        <w:trPr>
          <w:trHeight w:val="640"/>
        </w:trPr>
        <w:tc>
          <w:tcPr>
            <w:tcW w:w="9356" w:type="dxa"/>
            <w:shd w:val="clear" w:color="auto" w:fill="006FC0"/>
          </w:tcPr>
          <w:p w14:paraId="721EF46C" w14:textId="77777777" w:rsidR="00846321" w:rsidRDefault="00846321" w:rsidP="007A3339">
            <w:pPr>
              <w:pStyle w:val="TableParagraph"/>
              <w:spacing w:before="85"/>
              <w:rPr>
                <w:b/>
                <w:sz w:val="24"/>
              </w:rPr>
            </w:pPr>
            <w:r>
              <w:rPr>
                <w:b/>
                <w:color w:val="FFFFFF"/>
                <w:sz w:val="24"/>
              </w:rPr>
              <w:lastRenderedPageBreak/>
              <w:t>Business</w:t>
            </w:r>
            <w:r>
              <w:rPr>
                <w:b/>
                <w:color w:val="FFFFFF"/>
                <w:spacing w:val="-4"/>
                <w:sz w:val="24"/>
              </w:rPr>
              <w:t xml:space="preserve"> </w:t>
            </w:r>
            <w:r>
              <w:rPr>
                <w:b/>
                <w:color w:val="FFFFFF"/>
                <w:sz w:val="24"/>
              </w:rPr>
              <w:t>cases</w:t>
            </w:r>
            <w:r>
              <w:rPr>
                <w:b/>
                <w:color w:val="FFFFFF"/>
                <w:spacing w:val="-4"/>
                <w:sz w:val="24"/>
              </w:rPr>
              <w:t xml:space="preserve"> </w:t>
            </w:r>
            <w:r>
              <w:rPr>
                <w:b/>
                <w:color w:val="FFFFFF"/>
                <w:sz w:val="24"/>
              </w:rPr>
              <w:t>in</w:t>
            </w:r>
            <w:r>
              <w:rPr>
                <w:b/>
                <w:color w:val="FFFFFF"/>
                <w:spacing w:val="-5"/>
                <w:sz w:val="24"/>
              </w:rPr>
              <w:t xml:space="preserve"> </w:t>
            </w:r>
            <w:r>
              <w:rPr>
                <w:b/>
                <w:color w:val="FFFFFF"/>
                <w:spacing w:val="-2"/>
                <w:sz w:val="24"/>
              </w:rPr>
              <w:t>2024/25</w:t>
            </w:r>
          </w:p>
        </w:tc>
      </w:tr>
      <w:tr w:rsidR="00846321" w14:paraId="5E8EE85C" w14:textId="77777777" w:rsidTr="007F4869">
        <w:trPr>
          <w:trHeight w:val="1043"/>
        </w:trPr>
        <w:tc>
          <w:tcPr>
            <w:tcW w:w="9356" w:type="dxa"/>
          </w:tcPr>
          <w:p w14:paraId="2F13E521" w14:textId="69E70C78" w:rsidR="00846321" w:rsidRDefault="00846321" w:rsidP="00FB09D3">
            <w:pPr>
              <w:widowControl w:val="0"/>
              <w:autoSpaceDE w:val="0"/>
              <w:autoSpaceDN w:val="0"/>
              <w:spacing w:after="0" w:line="240" w:lineRule="auto"/>
              <w:rPr>
                <w:sz w:val="22"/>
              </w:rPr>
            </w:pPr>
          </w:p>
          <w:p w14:paraId="3AB418A6" w14:textId="6998EF92" w:rsidR="00FB09D3" w:rsidRPr="00FB09D3" w:rsidRDefault="00C35177" w:rsidP="00FB09D3">
            <w:pPr>
              <w:widowControl w:val="0"/>
              <w:autoSpaceDE w:val="0"/>
              <w:autoSpaceDN w:val="0"/>
              <w:spacing w:after="0" w:line="240" w:lineRule="auto"/>
              <w:rPr>
                <w:sz w:val="22"/>
              </w:rPr>
            </w:pPr>
            <w:r>
              <w:rPr>
                <w:sz w:val="22"/>
              </w:rPr>
              <w:t>We are working with Staffordshire on a business case to support the e</w:t>
            </w:r>
            <w:r w:rsidR="00525B4A">
              <w:rPr>
                <w:sz w:val="22"/>
              </w:rPr>
              <w:t>xpansion of M</w:t>
            </w:r>
            <w:r w:rsidR="00000464">
              <w:rPr>
                <w:sz w:val="22"/>
              </w:rPr>
              <w:t>inor Injury Unit</w:t>
            </w:r>
            <w:r>
              <w:rPr>
                <w:sz w:val="22"/>
              </w:rPr>
              <w:t xml:space="preserve"> capacity </w:t>
            </w:r>
            <w:r w:rsidR="00525B4A">
              <w:rPr>
                <w:sz w:val="22"/>
              </w:rPr>
              <w:t>at Burton</w:t>
            </w:r>
            <w:r>
              <w:rPr>
                <w:sz w:val="22"/>
              </w:rPr>
              <w:t xml:space="preserve"> Hospital </w:t>
            </w:r>
            <w:r w:rsidR="00525B4A">
              <w:rPr>
                <w:sz w:val="22"/>
              </w:rPr>
              <w:t xml:space="preserve">to </w:t>
            </w:r>
            <w:r w:rsidR="00000464">
              <w:rPr>
                <w:sz w:val="22"/>
              </w:rPr>
              <w:t>reduce demand on the A&amp;E department</w:t>
            </w:r>
            <w:r w:rsidR="007F4869">
              <w:rPr>
                <w:sz w:val="22"/>
              </w:rPr>
              <w:t>.</w:t>
            </w:r>
          </w:p>
          <w:p w14:paraId="1272F0DC" w14:textId="77777777" w:rsidR="00846321" w:rsidRPr="006F167D" w:rsidRDefault="00846321" w:rsidP="007A3339">
            <w:pPr>
              <w:pStyle w:val="TableParagraph"/>
              <w:tabs>
                <w:tab w:val="left" w:pos="828"/>
              </w:tabs>
              <w:spacing w:line="254" w:lineRule="exact"/>
              <w:ind w:left="827" w:right="541"/>
            </w:pPr>
          </w:p>
        </w:tc>
      </w:tr>
    </w:tbl>
    <w:p w14:paraId="40A8AD0B" w14:textId="77777777" w:rsidR="00846321" w:rsidRDefault="00846321" w:rsidP="00846321">
      <w:pPr>
        <w:pStyle w:val="BodyText"/>
        <w:spacing w:before="159" w:after="1"/>
        <w:rPr>
          <w:sz w:val="20"/>
        </w:rPr>
      </w:pPr>
    </w:p>
    <w:tbl>
      <w:tblPr>
        <w:tblW w:w="0" w:type="auto"/>
        <w:tblInd w:w="11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9356"/>
      </w:tblGrid>
      <w:tr w:rsidR="00846321" w14:paraId="77AD01CE" w14:textId="77777777" w:rsidTr="007A3339">
        <w:trPr>
          <w:trHeight w:val="640"/>
        </w:trPr>
        <w:tc>
          <w:tcPr>
            <w:tcW w:w="9356" w:type="dxa"/>
            <w:shd w:val="clear" w:color="auto" w:fill="006FC0"/>
          </w:tcPr>
          <w:p w14:paraId="220367AC" w14:textId="77777777" w:rsidR="00846321" w:rsidRDefault="00846321" w:rsidP="007A3339">
            <w:pPr>
              <w:pStyle w:val="TableParagraph"/>
              <w:spacing w:before="84"/>
              <w:rPr>
                <w:b/>
                <w:sz w:val="24"/>
              </w:rPr>
            </w:pPr>
            <w:r>
              <w:rPr>
                <w:b/>
                <w:color w:val="FFFFFF"/>
                <w:sz w:val="24"/>
              </w:rPr>
              <w:t>Cross-system</w:t>
            </w:r>
            <w:r>
              <w:rPr>
                <w:b/>
                <w:color w:val="FFFFFF"/>
                <w:spacing w:val="-16"/>
                <w:sz w:val="24"/>
              </w:rPr>
              <w:t xml:space="preserve"> </w:t>
            </w:r>
            <w:r>
              <w:rPr>
                <w:b/>
                <w:color w:val="FFFFFF"/>
                <w:sz w:val="24"/>
              </w:rPr>
              <w:t>and</w:t>
            </w:r>
            <w:r>
              <w:rPr>
                <w:b/>
                <w:color w:val="FFFFFF"/>
                <w:spacing w:val="-16"/>
                <w:sz w:val="24"/>
              </w:rPr>
              <w:t xml:space="preserve"> </w:t>
            </w:r>
            <w:r>
              <w:rPr>
                <w:b/>
                <w:color w:val="FFFFFF"/>
                <w:sz w:val="24"/>
              </w:rPr>
              <w:t>collaborative</w:t>
            </w:r>
            <w:r>
              <w:rPr>
                <w:b/>
                <w:color w:val="FFFFFF"/>
                <w:spacing w:val="-16"/>
                <w:sz w:val="24"/>
              </w:rPr>
              <w:t xml:space="preserve"> </w:t>
            </w:r>
            <w:r>
              <w:rPr>
                <w:b/>
                <w:color w:val="FFFFFF"/>
                <w:spacing w:val="-2"/>
                <w:sz w:val="24"/>
              </w:rPr>
              <w:t>working</w:t>
            </w:r>
          </w:p>
        </w:tc>
      </w:tr>
      <w:tr w:rsidR="00846321" w14:paraId="1AE143C0" w14:textId="77777777" w:rsidTr="005E48D5">
        <w:trPr>
          <w:trHeight w:val="1030"/>
        </w:trPr>
        <w:tc>
          <w:tcPr>
            <w:tcW w:w="9356" w:type="dxa"/>
          </w:tcPr>
          <w:p w14:paraId="748484A2" w14:textId="0C455C20" w:rsidR="00846321" w:rsidRDefault="00D91356" w:rsidP="00D91356">
            <w:r>
              <w:rPr>
                <w:sz w:val="22"/>
              </w:rPr>
              <w:t xml:space="preserve">The </w:t>
            </w:r>
            <w:proofErr w:type="spellStart"/>
            <w:r>
              <w:rPr>
                <w:sz w:val="22"/>
              </w:rPr>
              <w:t>Outwoods</w:t>
            </w:r>
            <w:proofErr w:type="spellEnd"/>
            <w:r>
              <w:rPr>
                <w:sz w:val="22"/>
              </w:rPr>
              <w:t xml:space="preserve"> scheme is an example of collaborative working across the Derbyshire and Staffordshire systems to deliver a new primary care centre for local GPs and to provide additional estate capacity for acute sector use.</w:t>
            </w:r>
          </w:p>
        </w:tc>
      </w:tr>
    </w:tbl>
    <w:p w14:paraId="4EF0CAD5" w14:textId="77777777" w:rsidR="00846321" w:rsidRDefault="00846321" w:rsidP="00846321">
      <w:pPr>
        <w:pStyle w:val="BodyText"/>
        <w:rPr>
          <w:sz w:val="20"/>
        </w:rPr>
      </w:pPr>
    </w:p>
    <w:tbl>
      <w:tblPr>
        <w:tblW w:w="0" w:type="auto"/>
        <w:tblInd w:w="11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9356"/>
      </w:tblGrid>
      <w:tr w:rsidR="00846321" w14:paraId="6DE60E22" w14:textId="77777777" w:rsidTr="007A3339">
        <w:trPr>
          <w:trHeight w:val="639"/>
        </w:trPr>
        <w:tc>
          <w:tcPr>
            <w:tcW w:w="9356" w:type="dxa"/>
            <w:shd w:val="clear" w:color="auto" w:fill="006FC0"/>
          </w:tcPr>
          <w:p w14:paraId="141B144A" w14:textId="77777777" w:rsidR="00846321" w:rsidRDefault="00846321" w:rsidP="007A3339">
            <w:pPr>
              <w:pStyle w:val="TableParagraph"/>
              <w:spacing w:before="84"/>
              <w:rPr>
                <w:b/>
                <w:sz w:val="24"/>
              </w:rPr>
            </w:pPr>
            <w:r>
              <w:rPr>
                <w:b/>
                <w:color w:val="FFFFFF"/>
                <w:sz w:val="24"/>
              </w:rPr>
              <w:t>Net</w:t>
            </w:r>
            <w:r>
              <w:rPr>
                <w:b/>
                <w:color w:val="FFFFFF"/>
                <w:spacing w:val="-2"/>
                <w:sz w:val="24"/>
              </w:rPr>
              <w:t xml:space="preserve"> </w:t>
            </w:r>
            <w:r>
              <w:rPr>
                <w:b/>
                <w:color w:val="FFFFFF"/>
                <w:sz w:val="24"/>
              </w:rPr>
              <w:t>zero</w:t>
            </w:r>
            <w:r>
              <w:rPr>
                <w:b/>
                <w:color w:val="FFFFFF"/>
                <w:spacing w:val="-2"/>
                <w:sz w:val="24"/>
              </w:rPr>
              <w:t xml:space="preserve"> </w:t>
            </w:r>
            <w:r>
              <w:rPr>
                <w:b/>
                <w:color w:val="FFFFFF"/>
                <w:sz w:val="24"/>
              </w:rPr>
              <w:t>carbon</w:t>
            </w:r>
            <w:r>
              <w:rPr>
                <w:b/>
                <w:color w:val="FFFFFF"/>
                <w:spacing w:val="-3"/>
                <w:sz w:val="24"/>
              </w:rPr>
              <w:t xml:space="preserve"> </w:t>
            </w:r>
            <w:r>
              <w:rPr>
                <w:b/>
                <w:color w:val="FFFFFF"/>
                <w:spacing w:val="-2"/>
                <w:sz w:val="24"/>
              </w:rPr>
              <w:t>strategy</w:t>
            </w:r>
          </w:p>
        </w:tc>
      </w:tr>
      <w:tr w:rsidR="00846321" w:rsidRPr="00151AFA" w14:paraId="7BD17B0B" w14:textId="77777777" w:rsidTr="007A3339">
        <w:trPr>
          <w:trHeight w:val="2188"/>
        </w:trPr>
        <w:tc>
          <w:tcPr>
            <w:tcW w:w="9356" w:type="dxa"/>
          </w:tcPr>
          <w:p w14:paraId="228EEB4B" w14:textId="77777777" w:rsidR="00CB1DC2" w:rsidRDefault="00CB1DC2" w:rsidP="00CB1DC2">
            <w:pPr>
              <w:pStyle w:val="Default"/>
            </w:pPr>
          </w:p>
          <w:p w14:paraId="659F4C8D" w14:textId="562ED5EE" w:rsidR="00CB1DC2" w:rsidRPr="00CB1DC2" w:rsidRDefault="00CB1DC2" w:rsidP="00CB1DC2">
            <w:pPr>
              <w:pStyle w:val="Default"/>
              <w:rPr>
                <w:color w:val="auto"/>
                <w:sz w:val="23"/>
                <w:szCs w:val="23"/>
              </w:rPr>
            </w:pPr>
            <w:r>
              <w:rPr>
                <w:color w:val="auto"/>
                <w:sz w:val="23"/>
                <w:szCs w:val="23"/>
              </w:rPr>
              <w:t xml:space="preserve">With our plan to transform health provision, we need to consider whether the estate </w:t>
            </w:r>
          </w:p>
          <w:p w14:paraId="3B87F40E" w14:textId="75343A0F" w:rsidR="00CB1DC2" w:rsidRDefault="00CB1DC2" w:rsidP="00CB1DC2">
            <w:pPr>
              <w:pStyle w:val="Default"/>
              <w:rPr>
                <w:color w:val="auto"/>
                <w:sz w:val="23"/>
                <w:szCs w:val="23"/>
              </w:rPr>
            </w:pPr>
            <w:r>
              <w:rPr>
                <w:color w:val="auto"/>
                <w:sz w:val="23"/>
                <w:szCs w:val="23"/>
              </w:rPr>
              <w:t xml:space="preserve">and the wider infrastructure which supports it is fit for purpose and appropriate for the direction in which we, as a system, seek to change how we deliver services. Whilst capital and revenue issues exist, we still need to ensure that our infrastructure is; compliant, </w:t>
            </w:r>
          </w:p>
          <w:p w14:paraId="591723FA" w14:textId="07EC42E7" w:rsidR="00846321" w:rsidRDefault="00CB1DC2" w:rsidP="00CB1DC2">
            <w:pPr>
              <w:pStyle w:val="Default"/>
              <w:rPr>
                <w:color w:val="auto"/>
                <w:sz w:val="23"/>
                <w:szCs w:val="23"/>
              </w:rPr>
            </w:pPr>
            <w:r>
              <w:rPr>
                <w:color w:val="auto"/>
                <w:sz w:val="23"/>
                <w:szCs w:val="23"/>
              </w:rPr>
              <w:t>safe, sustainable, accessible and efficient. Furthermore, we need to</w:t>
            </w:r>
            <w:r w:rsidR="00D90292">
              <w:rPr>
                <w:color w:val="auto"/>
                <w:sz w:val="23"/>
                <w:szCs w:val="23"/>
              </w:rPr>
              <w:t xml:space="preserve"> </w:t>
            </w:r>
            <w:r>
              <w:rPr>
                <w:color w:val="auto"/>
                <w:sz w:val="23"/>
                <w:szCs w:val="23"/>
              </w:rPr>
              <w:t>meet our Net Zero Carbon ambitions and ensure we make the most of digital advancements to provide a more accessible and efficient service.</w:t>
            </w:r>
          </w:p>
          <w:p w14:paraId="1DDADBB1" w14:textId="77777777" w:rsidR="00CB1DC2" w:rsidRDefault="00CB1DC2" w:rsidP="00CB1DC2">
            <w:pPr>
              <w:pStyle w:val="Default"/>
              <w:rPr>
                <w:color w:val="auto"/>
                <w:sz w:val="23"/>
                <w:szCs w:val="23"/>
              </w:rPr>
            </w:pPr>
          </w:p>
          <w:p w14:paraId="0E2E7113" w14:textId="3A4CDC6E" w:rsidR="00CB1DC2" w:rsidRPr="00CB1DC2" w:rsidRDefault="00CB1DC2" w:rsidP="00CB1DC2">
            <w:pPr>
              <w:pStyle w:val="Default"/>
              <w:rPr>
                <w:color w:val="auto"/>
                <w:sz w:val="23"/>
                <w:szCs w:val="23"/>
              </w:rPr>
            </w:pPr>
            <w:r>
              <w:rPr>
                <w:color w:val="auto"/>
                <w:sz w:val="23"/>
                <w:szCs w:val="23"/>
              </w:rPr>
              <w:t xml:space="preserve">We have ambitious local targets and timelines to reduce carbon emissions, air pollution </w:t>
            </w:r>
          </w:p>
          <w:p w14:paraId="2D74FB17" w14:textId="26B493AF" w:rsidR="00CB1DC2" w:rsidRPr="00CB1DC2" w:rsidRDefault="00CB1DC2" w:rsidP="00CB1DC2">
            <w:pPr>
              <w:pStyle w:val="Default"/>
              <w:rPr>
                <w:color w:val="auto"/>
                <w:sz w:val="23"/>
                <w:szCs w:val="23"/>
              </w:rPr>
            </w:pPr>
            <w:r>
              <w:rPr>
                <w:color w:val="auto"/>
                <w:sz w:val="23"/>
                <w:szCs w:val="23"/>
              </w:rPr>
              <w:t>and waste within our system which will seek to make our system Carbon Zero by 2040</w:t>
            </w:r>
          </w:p>
        </w:tc>
      </w:tr>
    </w:tbl>
    <w:p w14:paraId="2E6A3F19" w14:textId="77777777" w:rsidR="00846321" w:rsidRDefault="00846321" w:rsidP="00846321">
      <w:pPr>
        <w:pStyle w:val="BodyText"/>
        <w:rPr>
          <w:sz w:val="20"/>
        </w:rPr>
      </w:pPr>
    </w:p>
    <w:p w14:paraId="3D035D5A" w14:textId="77777777" w:rsidR="00846321" w:rsidRDefault="00846321" w:rsidP="00846321">
      <w:pPr>
        <w:pStyle w:val="BodyText"/>
        <w:spacing w:before="179" w:after="1"/>
        <w:rPr>
          <w:sz w:val="20"/>
        </w:rPr>
      </w:pPr>
    </w:p>
    <w:p w14:paraId="4521132C" w14:textId="77777777" w:rsidR="00846321" w:rsidRDefault="00846321" w:rsidP="00846321"/>
    <w:p w14:paraId="20E951C8" w14:textId="77777777" w:rsidR="00846321" w:rsidRDefault="00846321" w:rsidP="00846321"/>
    <w:p w14:paraId="31F3347B" w14:textId="77777777" w:rsidR="00846321" w:rsidRDefault="00846321" w:rsidP="00846321"/>
    <w:p w14:paraId="5A312FD1" w14:textId="77777777" w:rsidR="00846321" w:rsidRDefault="00846321" w:rsidP="00846321"/>
    <w:p w14:paraId="2C045CAA" w14:textId="77777777" w:rsidR="00846321" w:rsidRDefault="00846321" w:rsidP="00846321"/>
    <w:p w14:paraId="3E63A346" w14:textId="77777777" w:rsidR="00846321" w:rsidRDefault="00846321" w:rsidP="00846321"/>
    <w:p w14:paraId="0F7B9324" w14:textId="77777777" w:rsidR="00846321" w:rsidRDefault="00846321" w:rsidP="00846321"/>
    <w:p w14:paraId="12C89656" w14:textId="77777777" w:rsidR="00846321" w:rsidRDefault="00846321" w:rsidP="00846321"/>
    <w:p w14:paraId="343C14F2" w14:textId="77777777" w:rsidR="00846321" w:rsidRDefault="00846321" w:rsidP="00846321"/>
    <w:p w14:paraId="0C67E705" w14:textId="77777777" w:rsidR="00846321" w:rsidRDefault="00846321" w:rsidP="00846321">
      <w:pPr>
        <w:rPr>
          <w:b/>
          <w:bCs/>
          <w:szCs w:val="24"/>
        </w:rPr>
        <w:sectPr w:rsidR="00846321" w:rsidSect="0029440D">
          <w:pgSz w:w="11910" w:h="16840"/>
          <w:pgMar w:top="1600" w:right="1100" w:bottom="1140" w:left="920" w:header="567" w:footer="952" w:gutter="0"/>
          <w:cols w:space="720"/>
          <w:docGrid w:linePitch="299"/>
        </w:sectPr>
      </w:pPr>
    </w:p>
    <w:p w14:paraId="49E254C2" w14:textId="493B97B2" w:rsidR="00E513AC" w:rsidRPr="00AD3DC7" w:rsidRDefault="00E513AC" w:rsidP="00E513AC">
      <w:pPr>
        <w:rPr>
          <w:b/>
          <w:bCs/>
          <w:szCs w:val="24"/>
        </w:rPr>
      </w:pPr>
      <w:r>
        <w:rPr>
          <w:b/>
          <w:bCs/>
          <w:szCs w:val="24"/>
        </w:rPr>
        <w:lastRenderedPageBreak/>
        <w:t>Annex A – Derby and Derbyshire ICB 2024/25 Capital Plan</w:t>
      </w:r>
    </w:p>
    <w:tbl>
      <w:tblPr>
        <w:tblW w:w="141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2824"/>
        <w:gridCol w:w="1569"/>
        <w:gridCol w:w="1559"/>
        <w:gridCol w:w="1418"/>
        <w:gridCol w:w="1417"/>
        <w:gridCol w:w="1418"/>
        <w:gridCol w:w="1582"/>
        <w:gridCol w:w="1275"/>
      </w:tblGrid>
      <w:tr w:rsidR="005D1DE0" w14:paraId="077C931D" w14:textId="77777777" w:rsidTr="005D1DE0">
        <w:trPr>
          <w:trHeight w:val="1276"/>
        </w:trPr>
        <w:tc>
          <w:tcPr>
            <w:tcW w:w="1136"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ADA769D" w14:textId="77777777" w:rsidR="005D1DE0" w:rsidRDefault="005D1DE0">
            <w:pPr>
              <w:rPr>
                <w:rFonts w:ascii="Calibri" w:eastAsia="Times New Roman" w:hAnsi="Calibri" w:cs="Calibri"/>
                <w:color w:val="FFFFFF"/>
                <w:lang w:eastAsia="en-GB"/>
              </w:rPr>
            </w:pPr>
            <w:r>
              <w:rPr>
                <w:rFonts w:ascii="Calibri" w:eastAsia="Times New Roman" w:hAnsi="Calibri" w:cs="Calibri"/>
                <w:color w:val="FFFFFF"/>
                <w:lang w:eastAsia="en-GB"/>
              </w:rPr>
              <w:t> </w:t>
            </w:r>
          </w:p>
        </w:tc>
        <w:tc>
          <w:tcPr>
            <w:tcW w:w="2824"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A051A3B" w14:textId="77777777" w:rsidR="005D1DE0" w:rsidRDefault="005D1DE0">
            <w:pPr>
              <w:rPr>
                <w:rFonts w:ascii="Calibri" w:eastAsia="Times New Roman" w:hAnsi="Calibri" w:cs="Calibri"/>
                <w:color w:val="FFFFFF"/>
                <w:lang w:eastAsia="en-GB"/>
              </w:rPr>
            </w:pPr>
            <w:r>
              <w:rPr>
                <w:rFonts w:ascii="Calibri" w:eastAsia="Times New Roman" w:hAnsi="Calibri" w:cs="Calibri"/>
                <w:color w:val="FFFFFF"/>
                <w:lang w:eastAsia="en-GB"/>
              </w:rPr>
              <w:t>CDEL</w:t>
            </w:r>
          </w:p>
        </w:tc>
        <w:tc>
          <w:tcPr>
            <w:tcW w:w="1569" w:type="dxa"/>
            <w:tcBorders>
              <w:top w:val="single" w:sz="4" w:space="0" w:color="auto"/>
              <w:left w:val="single" w:sz="4" w:space="0" w:color="auto"/>
              <w:bottom w:val="single" w:sz="4" w:space="0" w:color="auto"/>
              <w:right w:val="single" w:sz="4" w:space="0" w:color="auto"/>
            </w:tcBorders>
            <w:shd w:val="clear" w:color="auto" w:fill="0070C0"/>
            <w:hideMark/>
          </w:tcPr>
          <w:p w14:paraId="30CC484A" w14:textId="189C020B" w:rsidR="005D1DE0" w:rsidRDefault="005D1DE0">
            <w:pPr>
              <w:jc w:val="center"/>
              <w:rPr>
                <w:rFonts w:ascii="Calibri" w:eastAsia="Times New Roman" w:hAnsi="Calibri" w:cs="Calibri"/>
                <w:b/>
                <w:bCs/>
                <w:color w:val="FFFFFF"/>
                <w:lang w:eastAsia="en-GB"/>
              </w:rPr>
            </w:pPr>
            <w:r>
              <w:rPr>
                <w:rFonts w:ascii="Calibri" w:eastAsia="Times New Roman" w:hAnsi="Calibri" w:cs="Calibri"/>
                <w:b/>
                <w:bCs/>
                <w:color w:val="FFFFFF"/>
                <w:lang w:eastAsia="en-GB"/>
              </w:rPr>
              <w:t xml:space="preserve">Derby and </w:t>
            </w:r>
            <w:proofErr w:type="spellStart"/>
            <w:r>
              <w:rPr>
                <w:rFonts w:ascii="Calibri" w:eastAsia="Times New Roman" w:hAnsi="Calibri" w:cs="Calibri"/>
                <w:b/>
                <w:bCs/>
                <w:color w:val="FFFFFF"/>
                <w:lang w:eastAsia="en-GB"/>
              </w:rPr>
              <w:t>Debryshire</w:t>
            </w:r>
            <w:proofErr w:type="spellEnd"/>
            <w:r>
              <w:rPr>
                <w:rFonts w:ascii="Calibri" w:eastAsia="Times New Roman" w:hAnsi="Calibri" w:cs="Calibri"/>
                <w:b/>
                <w:bCs/>
                <w:color w:val="FFFFFF"/>
                <w:lang w:eastAsia="en-GB"/>
              </w:rPr>
              <w:t xml:space="preserve">  ICB</w:t>
            </w:r>
            <w:r>
              <w:rPr>
                <w:rFonts w:ascii="Calibri" w:eastAsia="Times New Roman" w:hAnsi="Calibri" w:cs="Calibri"/>
                <w:b/>
                <w:bCs/>
                <w:color w:val="FFFFFF"/>
                <w:lang w:eastAsia="en-GB"/>
              </w:rPr>
              <w:br/>
              <w:t>£000</w:t>
            </w:r>
          </w:p>
        </w:tc>
        <w:tc>
          <w:tcPr>
            <w:tcW w:w="1559" w:type="dxa"/>
            <w:tcBorders>
              <w:top w:val="single" w:sz="4" w:space="0" w:color="auto"/>
              <w:left w:val="single" w:sz="4" w:space="0" w:color="auto"/>
              <w:bottom w:val="single" w:sz="4" w:space="0" w:color="auto"/>
              <w:right w:val="single" w:sz="4" w:space="0" w:color="auto"/>
            </w:tcBorders>
            <w:shd w:val="clear" w:color="auto" w:fill="0070C0"/>
            <w:hideMark/>
          </w:tcPr>
          <w:p w14:paraId="27FE064B" w14:textId="75809550" w:rsidR="005D1DE0" w:rsidRDefault="005D1DE0" w:rsidP="006472C5">
            <w:pPr>
              <w:jc w:val="center"/>
              <w:rPr>
                <w:rFonts w:ascii="Calibri" w:eastAsia="Times New Roman" w:hAnsi="Calibri" w:cs="Calibri"/>
                <w:b/>
                <w:bCs/>
                <w:color w:val="FFFFFF"/>
                <w:lang w:eastAsia="en-GB"/>
              </w:rPr>
            </w:pPr>
            <w:r>
              <w:rPr>
                <w:rFonts w:ascii="Calibri" w:eastAsia="Times New Roman" w:hAnsi="Calibri" w:cs="Calibri"/>
                <w:b/>
                <w:bCs/>
                <w:color w:val="FFFFFF"/>
                <w:lang w:eastAsia="en-GB"/>
              </w:rPr>
              <w:t>Chesterfield Royal  NHS Foundation Trust</w:t>
            </w:r>
            <w:r>
              <w:rPr>
                <w:rFonts w:ascii="Calibri" w:eastAsia="Times New Roman" w:hAnsi="Calibri" w:cs="Calibri"/>
                <w:b/>
                <w:bCs/>
                <w:color w:val="FFFFFF"/>
                <w:lang w:eastAsia="en-GB"/>
              </w:rPr>
              <w:br/>
              <w:t>£000</w:t>
            </w:r>
          </w:p>
        </w:tc>
        <w:tc>
          <w:tcPr>
            <w:tcW w:w="1418" w:type="dxa"/>
            <w:tcBorders>
              <w:top w:val="single" w:sz="4" w:space="0" w:color="auto"/>
              <w:left w:val="single" w:sz="4" w:space="0" w:color="auto"/>
              <w:bottom w:val="single" w:sz="4" w:space="0" w:color="auto"/>
              <w:right w:val="single" w:sz="4" w:space="0" w:color="auto"/>
            </w:tcBorders>
            <w:shd w:val="clear" w:color="auto" w:fill="0070C0"/>
            <w:hideMark/>
          </w:tcPr>
          <w:p w14:paraId="574422B1" w14:textId="348953E4" w:rsidR="005D1DE0" w:rsidRDefault="005D1DE0">
            <w:pPr>
              <w:jc w:val="center"/>
              <w:rPr>
                <w:rFonts w:ascii="Calibri" w:eastAsia="Times New Roman" w:hAnsi="Calibri" w:cs="Calibri"/>
                <w:b/>
                <w:bCs/>
                <w:color w:val="FFFFFF"/>
                <w:lang w:eastAsia="en-GB"/>
              </w:rPr>
            </w:pPr>
            <w:r>
              <w:rPr>
                <w:rFonts w:ascii="Calibri" w:eastAsia="Times New Roman" w:hAnsi="Calibri" w:cs="Calibri"/>
                <w:b/>
                <w:bCs/>
                <w:color w:val="FFFFFF"/>
                <w:lang w:eastAsia="en-GB"/>
              </w:rPr>
              <w:t>Derbyshire Community Health Services NHS Foundation Trust</w:t>
            </w:r>
          </w:p>
          <w:p w14:paraId="6BF3CA06" w14:textId="77777777" w:rsidR="005D1DE0" w:rsidRDefault="005D1DE0">
            <w:pPr>
              <w:jc w:val="center"/>
              <w:rPr>
                <w:rFonts w:ascii="Calibri" w:eastAsia="Times New Roman" w:hAnsi="Calibri" w:cs="Calibri"/>
                <w:b/>
                <w:bCs/>
                <w:color w:val="FFFFFF"/>
                <w:lang w:eastAsia="en-GB"/>
              </w:rPr>
            </w:pPr>
            <w:r>
              <w:rPr>
                <w:rFonts w:ascii="Calibri" w:eastAsia="Times New Roman" w:hAnsi="Calibri" w:cs="Calibri"/>
                <w:b/>
                <w:bCs/>
                <w:color w:val="FFFFFF"/>
                <w:lang w:eastAsia="en-GB"/>
              </w:rPr>
              <w:t>£000</w:t>
            </w:r>
          </w:p>
        </w:tc>
        <w:tc>
          <w:tcPr>
            <w:tcW w:w="1417" w:type="dxa"/>
            <w:tcBorders>
              <w:top w:val="single" w:sz="4" w:space="0" w:color="auto"/>
              <w:left w:val="single" w:sz="4" w:space="0" w:color="auto"/>
              <w:bottom w:val="single" w:sz="4" w:space="0" w:color="auto"/>
              <w:right w:val="single" w:sz="4" w:space="0" w:color="auto"/>
            </w:tcBorders>
            <w:shd w:val="clear" w:color="auto" w:fill="0070C0"/>
            <w:hideMark/>
          </w:tcPr>
          <w:p w14:paraId="029A2D56" w14:textId="0171F2F8" w:rsidR="005D1DE0" w:rsidRDefault="005D1DE0">
            <w:pPr>
              <w:jc w:val="center"/>
              <w:rPr>
                <w:rFonts w:ascii="Calibri" w:eastAsia="Times New Roman" w:hAnsi="Calibri" w:cs="Calibri"/>
                <w:b/>
                <w:bCs/>
                <w:color w:val="FFFFFF"/>
                <w:lang w:eastAsia="en-GB"/>
              </w:rPr>
            </w:pPr>
            <w:r>
              <w:rPr>
                <w:rFonts w:ascii="Calibri" w:eastAsia="Times New Roman" w:hAnsi="Calibri" w:cs="Calibri"/>
                <w:b/>
                <w:bCs/>
                <w:color w:val="FFFFFF"/>
                <w:lang w:eastAsia="en-GB"/>
              </w:rPr>
              <w:t>Derbyshire Healthcare NHS Foundation Trust</w:t>
            </w:r>
          </w:p>
          <w:p w14:paraId="6FC9F81B" w14:textId="77777777" w:rsidR="005D1DE0" w:rsidRDefault="005D1DE0">
            <w:pPr>
              <w:jc w:val="center"/>
              <w:rPr>
                <w:rFonts w:ascii="Calibri" w:eastAsia="Times New Roman" w:hAnsi="Calibri" w:cs="Calibri"/>
                <w:b/>
                <w:bCs/>
                <w:color w:val="FFFFFF"/>
                <w:lang w:eastAsia="en-GB"/>
              </w:rPr>
            </w:pPr>
            <w:r>
              <w:rPr>
                <w:rFonts w:ascii="Calibri" w:eastAsia="Times New Roman" w:hAnsi="Calibri" w:cs="Calibri"/>
                <w:b/>
                <w:bCs/>
                <w:color w:val="FFFFFF"/>
                <w:lang w:eastAsia="en-GB"/>
              </w:rPr>
              <w:t>£000</w:t>
            </w:r>
          </w:p>
        </w:tc>
        <w:tc>
          <w:tcPr>
            <w:tcW w:w="1418" w:type="dxa"/>
            <w:tcBorders>
              <w:top w:val="single" w:sz="4" w:space="0" w:color="auto"/>
              <w:left w:val="single" w:sz="4" w:space="0" w:color="auto"/>
              <w:bottom w:val="single" w:sz="4" w:space="0" w:color="auto"/>
              <w:right w:val="single" w:sz="4" w:space="0" w:color="auto"/>
            </w:tcBorders>
            <w:shd w:val="clear" w:color="auto" w:fill="0070C0"/>
            <w:hideMark/>
          </w:tcPr>
          <w:p w14:paraId="32402909" w14:textId="05ABEE33" w:rsidR="005D1DE0" w:rsidRDefault="005D1DE0">
            <w:pPr>
              <w:jc w:val="center"/>
              <w:rPr>
                <w:rFonts w:ascii="Calibri" w:eastAsia="Times New Roman" w:hAnsi="Calibri" w:cs="Calibri"/>
                <w:b/>
                <w:bCs/>
                <w:color w:val="FFFFFF"/>
                <w:lang w:eastAsia="en-GB"/>
              </w:rPr>
            </w:pPr>
            <w:r>
              <w:rPr>
                <w:rFonts w:ascii="Calibri" w:eastAsia="Times New Roman" w:hAnsi="Calibri" w:cs="Calibri"/>
                <w:b/>
                <w:bCs/>
                <w:color w:val="FFFFFF"/>
                <w:lang w:eastAsia="en-GB"/>
              </w:rPr>
              <w:t>East Midlands Ambulance NHS Trust</w:t>
            </w:r>
          </w:p>
          <w:p w14:paraId="6273072C" w14:textId="77777777" w:rsidR="005D1DE0" w:rsidRDefault="005D1DE0">
            <w:pPr>
              <w:jc w:val="center"/>
              <w:rPr>
                <w:rFonts w:ascii="Calibri" w:eastAsia="Times New Roman" w:hAnsi="Calibri" w:cs="Calibri"/>
                <w:b/>
                <w:bCs/>
                <w:color w:val="FFFFFF"/>
                <w:lang w:eastAsia="en-GB"/>
              </w:rPr>
            </w:pPr>
            <w:r>
              <w:rPr>
                <w:rFonts w:ascii="Calibri" w:eastAsia="Times New Roman" w:hAnsi="Calibri" w:cs="Calibri"/>
                <w:b/>
                <w:bCs/>
                <w:color w:val="FFFFFF"/>
                <w:lang w:eastAsia="en-GB"/>
              </w:rPr>
              <w:t>£000</w:t>
            </w:r>
          </w:p>
        </w:tc>
        <w:tc>
          <w:tcPr>
            <w:tcW w:w="1582" w:type="dxa"/>
            <w:tcBorders>
              <w:top w:val="single" w:sz="4" w:space="0" w:color="auto"/>
              <w:left w:val="single" w:sz="4" w:space="0" w:color="auto"/>
              <w:bottom w:val="single" w:sz="4" w:space="0" w:color="auto"/>
              <w:right w:val="single" w:sz="4" w:space="0" w:color="auto"/>
            </w:tcBorders>
            <w:shd w:val="clear" w:color="auto" w:fill="0070C0"/>
            <w:hideMark/>
          </w:tcPr>
          <w:p w14:paraId="72F7C665" w14:textId="54930140" w:rsidR="005D1DE0" w:rsidRDefault="005D1DE0">
            <w:pPr>
              <w:jc w:val="center"/>
              <w:rPr>
                <w:rFonts w:ascii="Calibri" w:eastAsia="Times New Roman" w:hAnsi="Calibri" w:cs="Calibri"/>
                <w:b/>
                <w:bCs/>
                <w:color w:val="FFFFFF"/>
                <w:lang w:eastAsia="en-GB"/>
              </w:rPr>
            </w:pPr>
            <w:r>
              <w:rPr>
                <w:rFonts w:ascii="Calibri" w:eastAsia="Times New Roman" w:hAnsi="Calibri" w:cs="Calibri"/>
                <w:b/>
                <w:bCs/>
                <w:color w:val="FFFFFF"/>
                <w:lang w:eastAsia="en-GB"/>
              </w:rPr>
              <w:t>University Hospitals of Derby and Burton NHS Foundation Trust</w:t>
            </w:r>
          </w:p>
          <w:p w14:paraId="26830009" w14:textId="77777777" w:rsidR="005D1DE0" w:rsidRDefault="005D1DE0">
            <w:pPr>
              <w:jc w:val="center"/>
              <w:rPr>
                <w:rFonts w:ascii="Calibri" w:eastAsia="Times New Roman" w:hAnsi="Calibri" w:cs="Calibri"/>
                <w:b/>
                <w:bCs/>
                <w:color w:val="FFFFFF"/>
                <w:lang w:eastAsia="en-GB"/>
              </w:rPr>
            </w:pPr>
            <w:r>
              <w:rPr>
                <w:rFonts w:ascii="Calibri" w:eastAsia="Times New Roman" w:hAnsi="Calibri" w:cs="Calibri"/>
                <w:b/>
                <w:bCs/>
                <w:color w:val="FFFFFF"/>
                <w:lang w:eastAsia="en-GB"/>
              </w:rPr>
              <w:t>£000</w:t>
            </w:r>
          </w:p>
        </w:tc>
        <w:tc>
          <w:tcPr>
            <w:tcW w:w="127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0AA5301D" w14:textId="77777777" w:rsidR="005D1DE0" w:rsidRDefault="005D1DE0">
            <w:pPr>
              <w:jc w:val="center"/>
              <w:rPr>
                <w:rFonts w:ascii="Calibri" w:eastAsia="Times New Roman" w:hAnsi="Calibri" w:cs="Calibri"/>
                <w:b/>
                <w:bCs/>
                <w:color w:val="FFFFFF"/>
                <w:lang w:eastAsia="en-GB"/>
              </w:rPr>
            </w:pPr>
            <w:r>
              <w:rPr>
                <w:rFonts w:ascii="Calibri" w:eastAsia="Times New Roman" w:hAnsi="Calibri" w:cs="Calibri"/>
                <w:b/>
                <w:bCs/>
                <w:color w:val="FFFFFF"/>
                <w:lang w:eastAsia="en-GB"/>
              </w:rPr>
              <w:t>Total</w:t>
            </w:r>
          </w:p>
          <w:p w14:paraId="7E339003" w14:textId="77777777" w:rsidR="005D1DE0" w:rsidRDefault="005D1DE0">
            <w:pPr>
              <w:jc w:val="center"/>
              <w:rPr>
                <w:rFonts w:ascii="Calibri" w:eastAsia="Times New Roman" w:hAnsi="Calibri" w:cs="Calibri"/>
                <w:b/>
                <w:bCs/>
                <w:color w:val="FFFFFF"/>
                <w:lang w:eastAsia="en-GB"/>
              </w:rPr>
            </w:pPr>
            <w:r>
              <w:rPr>
                <w:rFonts w:ascii="Calibri" w:eastAsia="Times New Roman" w:hAnsi="Calibri" w:cs="Calibri"/>
                <w:b/>
                <w:bCs/>
                <w:color w:val="FFFFFF"/>
                <w:lang w:eastAsia="en-GB"/>
              </w:rPr>
              <w:t>Full Year Plan</w:t>
            </w:r>
          </w:p>
          <w:p w14:paraId="1B28CE3C" w14:textId="77777777" w:rsidR="005D1DE0" w:rsidRDefault="005D1DE0">
            <w:pPr>
              <w:jc w:val="center"/>
              <w:rPr>
                <w:rFonts w:ascii="Calibri" w:eastAsia="Times New Roman" w:hAnsi="Calibri" w:cs="Calibri"/>
                <w:b/>
                <w:bCs/>
                <w:color w:val="FFFFFF"/>
                <w:lang w:eastAsia="en-GB"/>
              </w:rPr>
            </w:pPr>
            <w:r>
              <w:rPr>
                <w:rFonts w:ascii="Calibri" w:eastAsia="Times New Roman" w:hAnsi="Calibri" w:cs="Calibri"/>
                <w:b/>
                <w:bCs/>
                <w:color w:val="FFFFFF"/>
                <w:lang w:eastAsia="en-GB"/>
              </w:rPr>
              <w:t>£000</w:t>
            </w:r>
          </w:p>
        </w:tc>
      </w:tr>
      <w:tr w:rsidR="005D1DE0" w14:paraId="1A6E8A3E" w14:textId="77777777" w:rsidTr="005D1DE0">
        <w:trPr>
          <w:trHeight w:val="449"/>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512485AB" w14:textId="77777777" w:rsidR="005D1DE0" w:rsidRDefault="005D1DE0">
            <w:pPr>
              <w:ind w:left="-33"/>
              <w:rPr>
                <w:rFonts w:ascii="Calibri" w:eastAsia="Times New Roman" w:hAnsi="Calibri" w:cs="Calibri"/>
                <w:color w:val="000000"/>
                <w:lang w:eastAsia="en-GB"/>
              </w:rPr>
            </w:pPr>
            <w:r>
              <w:rPr>
                <w:rFonts w:ascii="Calibri" w:eastAsia="Times New Roman" w:hAnsi="Calibri" w:cs="Calibri"/>
                <w:color w:val="000000"/>
                <w:lang w:eastAsia="en-GB"/>
              </w:rPr>
              <w:t>Provider</w:t>
            </w:r>
          </w:p>
        </w:tc>
        <w:tc>
          <w:tcPr>
            <w:tcW w:w="2824" w:type="dxa"/>
            <w:tcBorders>
              <w:top w:val="single" w:sz="4" w:space="0" w:color="auto"/>
              <w:left w:val="single" w:sz="4" w:space="0" w:color="auto"/>
              <w:bottom w:val="single" w:sz="4" w:space="0" w:color="auto"/>
              <w:right w:val="single" w:sz="4" w:space="0" w:color="auto"/>
            </w:tcBorders>
            <w:noWrap/>
            <w:vAlign w:val="center"/>
            <w:hideMark/>
          </w:tcPr>
          <w:p w14:paraId="0128CB90" w14:textId="77777777" w:rsidR="005D1DE0" w:rsidRDefault="005D1DE0">
            <w:pPr>
              <w:rPr>
                <w:rFonts w:ascii="Calibri" w:eastAsia="Times New Roman" w:hAnsi="Calibri" w:cs="Calibri"/>
                <w:color w:val="000000"/>
                <w:lang w:eastAsia="en-GB"/>
              </w:rPr>
            </w:pPr>
            <w:r>
              <w:rPr>
                <w:rFonts w:ascii="Calibri" w:eastAsia="Times New Roman" w:hAnsi="Calibri" w:cs="Calibri"/>
                <w:color w:val="000000"/>
                <w:lang w:eastAsia="en-GB"/>
              </w:rPr>
              <w:t xml:space="preserve">Operational Capital </w:t>
            </w:r>
          </w:p>
        </w:tc>
        <w:tc>
          <w:tcPr>
            <w:tcW w:w="1569" w:type="dxa"/>
            <w:tcBorders>
              <w:top w:val="single" w:sz="4" w:space="0" w:color="auto"/>
              <w:left w:val="single" w:sz="4" w:space="0" w:color="auto"/>
              <w:bottom w:val="single" w:sz="4" w:space="0" w:color="auto"/>
              <w:right w:val="single" w:sz="4" w:space="0" w:color="auto"/>
            </w:tcBorders>
            <w:shd w:val="clear" w:color="auto" w:fill="EEECE1" w:themeFill="background2"/>
          </w:tcPr>
          <w:p w14:paraId="15161002" w14:textId="77777777" w:rsidR="005D1DE0" w:rsidRDefault="005D1DE0">
            <w:pPr>
              <w:jc w:val="right"/>
              <w:rPr>
                <w:rFonts w:ascii="Calibri" w:eastAsia="Times New Roman" w:hAnsi="Calibri" w:cs="Calibri"/>
                <w:color w:val="BFBFBF" w:themeColor="background1" w:themeShade="BF"/>
                <w:lang w:eastAsia="en-GB"/>
              </w:rPr>
            </w:pPr>
          </w:p>
        </w:tc>
        <w:tc>
          <w:tcPr>
            <w:tcW w:w="1559" w:type="dxa"/>
            <w:tcBorders>
              <w:top w:val="single" w:sz="4" w:space="0" w:color="auto"/>
              <w:left w:val="single" w:sz="4" w:space="0" w:color="auto"/>
              <w:bottom w:val="single" w:sz="4" w:space="0" w:color="auto"/>
              <w:right w:val="single" w:sz="4" w:space="0" w:color="auto"/>
            </w:tcBorders>
          </w:tcPr>
          <w:p w14:paraId="0A70D527" w14:textId="6C8A11F9" w:rsidR="005D1DE0" w:rsidRDefault="00194756">
            <w:pPr>
              <w:spacing w:line="36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7,102</w:t>
            </w:r>
          </w:p>
        </w:tc>
        <w:tc>
          <w:tcPr>
            <w:tcW w:w="1418" w:type="dxa"/>
            <w:tcBorders>
              <w:top w:val="single" w:sz="4" w:space="0" w:color="auto"/>
              <w:left w:val="single" w:sz="4" w:space="0" w:color="auto"/>
              <w:bottom w:val="single" w:sz="4" w:space="0" w:color="auto"/>
              <w:right w:val="single" w:sz="4" w:space="0" w:color="auto"/>
            </w:tcBorders>
          </w:tcPr>
          <w:p w14:paraId="25ADEF88" w14:textId="57CE9687" w:rsidR="005D1DE0" w:rsidRDefault="00EF2967">
            <w:pPr>
              <w:spacing w:line="36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10,667</w:t>
            </w:r>
          </w:p>
        </w:tc>
        <w:tc>
          <w:tcPr>
            <w:tcW w:w="1417" w:type="dxa"/>
            <w:tcBorders>
              <w:top w:val="single" w:sz="4" w:space="0" w:color="auto"/>
              <w:left w:val="single" w:sz="4" w:space="0" w:color="auto"/>
              <w:bottom w:val="single" w:sz="4" w:space="0" w:color="auto"/>
              <w:right w:val="single" w:sz="4" w:space="0" w:color="auto"/>
            </w:tcBorders>
          </w:tcPr>
          <w:p w14:paraId="1CCAF2A3" w14:textId="4E9E6F24" w:rsidR="005D1DE0" w:rsidRDefault="00B7495C">
            <w:pPr>
              <w:spacing w:line="36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2,605</w:t>
            </w:r>
          </w:p>
        </w:tc>
        <w:tc>
          <w:tcPr>
            <w:tcW w:w="1418" w:type="dxa"/>
            <w:tcBorders>
              <w:top w:val="single" w:sz="4" w:space="0" w:color="auto"/>
              <w:left w:val="single" w:sz="4" w:space="0" w:color="auto"/>
              <w:bottom w:val="single" w:sz="4" w:space="0" w:color="auto"/>
              <w:right w:val="single" w:sz="4" w:space="0" w:color="auto"/>
            </w:tcBorders>
          </w:tcPr>
          <w:p w14:paraId="30CB1837" w14:textId="19C51696" w:rsidR="005D1DE0" w:rsidRDefault="00330762">
            <w:pPr>
              <w:spacing w:line="36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7,890</w:t>
            </w:r>
          </w:p>
        </w:tc>
        <w:tc>
          <w:tcPr>
            <w:tcW w:w="1582" w:type="dxa"/>
            <w:tcBorders>
              <w:top w:val="single" w:sz="4" w:space="0" w:color="auto"/>
              <w:left w:val="single" w:sz="4" w:space="0" w:color="auto"/>
              <w:bottom w:val="single" w:sz="4" w:space="0" w:color="auto"/>
              <w:right w:val="single" w:sz="4" w:space="0" w:color="auto"/>
            </w:tcBorders>
          </w:tcPr>
          <w:p w14:paraId="3BD9481D" w14:textId="4E945719" w:rsidR="005D1DE0" w:rsidRDefault="009F456D">
            <w:pPr>
              <w:spacing w:line="36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23,909</w:t>
            </w:r>
          </w:p>
        </w:tc>
        <w:tc>
          <w:tcPr>
            <w:tcW w:w="1275" w:type="dxa"/>
            <w:tcBorders>
              <w:top w:val="single" w:sz="4" w:space="0" w:color="auto"/>
              <w:left w:val="single" w:sz="4" w:space="0" w:color="auto"/>
              <w:bottom w:val="single" w:sz="4" w:space="0" w:color="auto"/>
              <w:right w:val="single" w:sz="4" w:space="0" w:color="auto"/>
            </w:tcBorders>
            <w:noWrap/>
            <w:vAlign w:val="bottom"/>
          </w:tcPr>
          <w:p w14:paraId="19B045B2" w14:textId="06013FD5" w:rsidR="005D1DE0" w:rsidRDefault="00EA12AE">
            <w:pPr>
              <w:spacing w:line="36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52,173</w:t>
            </w:r>
          </w:p>
        </w:tc>
      </w:tr>
      <w:tr w:rsidR="005D1DE0" w14:paraId="25BDC2D7" w14:textId="77777777" w:rsidTr="005D1DE0">
        <w:trPr>
          <w:trHeight w:val="449"/>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1DBA386E" w14:textId="77777777" w:rsidR="005D1DE0" w:rsidRDefault="005D1DE0">
            <w:pPr>
              <w:rPr>
                <w:rFonts w:ascii="Calibri" w:eastAsia="Times New Roman" w:hAnsi="Calibri" w:cs="Calibri"/>
                <w:color w:val="000000"/>
                <w:lang w:eastAsia="en-GB"/>
              </w:rPr>
            </w:pPr>
            <w:r>
              <w:rPr>
                <w:rFonts w:ascii="Calibri" w:eastAsia="Times New Roman" w:hAnsi="Calibri" w:cs="Calibri"/>
                <w:color w:val="000000"/>
                <w:lang w:eastAsia="en-GB"/>
              </w:rPr>
              <w:t>ICB</w:t>
            </w:r>
          </w:p>
        </w:tc>
        <w:tc>
          <w:tcPr>
            <w:tcW w:w="2824" w:type="dxa"/>
            <w:tcBorders>
              <w:top w:val="single" w:sz="4" w:space="0" w:color="auto"/>
              <w:left w:val="single" w:sz="4" w:space="0" w:color="auto"/>
              <w:bottom w:val="single" w:sz="4" w:space="0" w:color="auto"/>
              <w:right w:val="single" w:sz="4" w:space="0" w:color="auto"/>
            </w:tcBorders>
            <w:noWrap/>
            <w:vAlign w:val="center"/>
            <w:hideMark/>
          </w:tcPr>
          <w:p w14:paraId="0C138784" w14:textId="77777777" w:rsidR="005D1DE0" w:rsidRDefault="005D1DE0">
            <w:pPr>
              <w:rPr>
                <w:rFonts w:ascii="Calibri" w:eastAsia="Times New Roman" w:hAnsi="Calibri" w:cs="Calibri"/>
                <w:color w:val="000000"/>
                <w:lang w:eastAsia="en-GB"/>
              </w:rPr>
            </w:pPr>
            <w:r>
              <w:rPr>
                <w:rFonts w:ascii="Calibri" w:eastAsia="Times New Roman" w:hAnsi="Calibri" w:cs="Calibri"/>
                <w:color w:val="000000"/>
                <w:lang w:eastAsia="en-GB"/>
              </w:rPr>
              <w:t xml:space="preserve">Operational Capital </w:t>
            </w:r>
          </w:p>
        </w:tc>
        <w:tc>
          <w:tcPr>
            <w:tcW w:w="1569" w:type="dxa"/>
            <w:tcBorders>
              <w:top w:val="single" w:sz="4" w:space="0" w:color="auto"/>
              <w:left w:val="single" w:sz="4" w:space="0" w:color="auto"/>
              <w:bottom w:val="single" w:sz="4" w:space="0" w:color="auto"/>
              <w:right w:val="single" w:sz="4" w:space="0" w:color="auto"/>
            </w:tcBorders>
          </w:tcPr>
          <w:p w14:paraId="6442853A" w14:textId="08223E19" w:rsidR="005D1DE0" w:rsidRDefault="00EA12AE">
            <w:pPr>
              <w:jc w:val="right"/>
              <w:rPr>
                <w:rFonts w:ascii="Calibri" w:eastAsia="Times New Roman" w:hAnsi="Calibri" w:cs="Calibri"/>
                <w:color w:val="000000"/>
                <w:lang w:eastAsia="en-GB"/>
              </w:rPr>
            </w:pPr>
            <w:r>
              <w:rPr>
                <w:rFonts w:ascii="Calibri" w:eastAsia="Times New Roman" w:hAnsi="Calibri" w:cs="Calibri"/>
                <w:color w:val="000000"/>
                <w:lang w:eastAsia="en-GB"/>
              </w:rPr>
              <w:t>1,800</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tcPr>
          <w:p w14:paraId="66FDFDB3" w14:textId="77777777" w:rsidR="005D1DE0" w:rsidRDefault="005D1DE0">
            <w:pPr>
              <w:jc w:val="right"/>
              <w:rPr>
                <w:rFonts w:ascii="Calibri" w:eastAsia="Times New Roman" w:hAnsi="Calibri" w:cs="Calibri"/>
                <w:color w:val="00000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14:paraId="38FAB0FE" w14:textId="77777777" w:rsidR="005D1DE0" w:rsidRDefault="005D1DE0">
            <w:pPr>
              <w:jc w:val="right"/>
              <w:rPr>
                <w:rFonts w:ascii="Calibri" w:eastAsia="Times New Roman" w:hAnsi="Calibri" w:cs="Calibri"/>
                <w:color w:val="00000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0464C882" w14:textId="77777777" w:rsidR="005D1DE0" w:rsidRDefault="005D1DE0">
            <w:pPr>
              <w:jc w:val="right"/>
              <w:rPr>
                <w:rFonts w:ascii="Calibri" w:eastAsia="Times New Roman" w:hAnsi="Calibri" w:cs="Calibri"/>
                <w:color w:val="00000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14:paraId="296CDA9A" w14:textId="77777777" w:rsidR="005D1DE0" w:rsidRDefault="005D1DE0">
            <w:pPr>
              <w:jc w:val="right"/>
              <w:rPr>
                <w:rFonts w:ascii="Calibri" w:eastAsia="Times New Roman" w:hAnsi="Calibri" w:cs="Calibri"/>
                <w:color w:val="000000"/>
                <w:lang w:eastAsia="en-GB"/>
              </w:rPr>
            </w:pPr>
          </w:p>
        </w:tc>
        <w:tc>
          <w:tcPr>
            <w:tcW w:w="1582" w:type="dxa"/>
            <w:tcBorders>
              <w:top w:val="single" w:sz="4" w:space="0" w:color="auto"/>
              <w:left w:val="single" w:sz="4" w:space="0" w:color="auto"/>
              <w:bottom w:val="single" w:sz="4" w:space="0" w:color="auto"/>
              <w:right w:val="single" w:sz="4" w:space="0" w:color="auto"/>
            </w:tcBorders>
            <w:shd w:val="clear" w:color="auto" w:fill="EEECE1" w:themeFill="background2"/>
          </w:tcPr>
          <w:p w14:paraId="51658684" w14:textId="77777777" w:rsidR="005D1DE0" w:rsidRDefault="005D1DE0">
            <w:pPr>
              <w:jc w:val="right"/>
              <w:rPr>
                <w:rFonts w:ascii="Calibri" w:eastAsia="Times New Roman" w:hAnsi="Calibri" w:cs="Calibri"/>
                <w:color w:val="000000"/>
                <w:lang w:eastAsia="en-GB"/>
              </w:rPr>
            </w:pPr>
          </w:p>
        </w:tc>
        <w:tc>
          <w:tcPr>
            <w:tcW w:w="1275" w:type="dxa"/>
            <w:tcBorders>
              <w:top w:val="single" w:sz="4" w:space="0" w:color="auto"/>
              <w:left w:val="single" w:sz="4" w:space="0" w:color="auto"/>
              <w:bottom w:val="single" w:sz="4" w:space="0" w:color="auto"/>
              <w:right w:val="single" w:sz="4" w:space="0" w:color="auto"/>
            </w:tcBorders>
            <w:noWrap/>
            <w:vAlign w:val="bottom"/>
          </w:tcPr>
          <w:p w14:paraId="3EE657A9" w14:textId="47CB5397" w:rsidR="005D1DE0" w:rsidRDefault="00EA12AE">
            <w:pPr>
              <w:spacing w:line="36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1,800</w:t>
            </w:r>
          </w:p>
        </w:tc>
      </w:tr>
      <w:tr w:rsidR="005D1DE0" w14:paraId="49057EFA" w14:textId="77777777" w:rsidTr="005D1DE0">
        <w:trPr>
          <w:trHeight w:val="449"/>
        </w:trPr>
        <w:tc>
          <w:tcPr>
            <w:tcW w:w="113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BE880C7" w14:textId="77777777" w:rsidR="005D1DE0" w:rsidRDefault="005D1DE0">
            <w:pPr>
              <w:rPr>
                <w:rFonts w:ascii="Calibri" w:eastAsia="Times New Roman" w:hAnsi="Calibri" w:cs="Calibri"/>
                <w:color w:val="000000"/>
                <w:lang w:eastAsia="en-GB"/>
              </w:rPr>
            </w:pPr>
          </w:p>
        </w:tc>
        <w:tc>
          <w:tcPr>
            <w:tcW w:w="2824" w:type="dxa"/>
            <w:tcBorders>
              <w:top w:val="single" w:sz="4" w:space="0" w:color="auto"/>
              <w:left w:val="single" w:sz="4" w:space="0" w:color="auto"/>
              <w:bottom w:val="single" w:sz="4" w:space="0" w:color="auto"/>
              <w:right w:val="single" w:sz="4" w:space="0" w:color="auto"/>
            </w:tcBorders>
            <w:noWrap/>
            <w:vAlign w:val="center"/>
            <w:hideMark/>
          </w:tcPr>
          <w:p w14:paraId="21A147DC" w14:textId="77777777" w:rsidR="005D1DE0" w:rsidRDefault="005D1DE0">
            <w:pPr>
              <w:rPr>
                <w:rFonts w:ascii="Calibri" w:eastAsia="Times New Roman" w:hAnsi="Calibri" w:cs="Calibri"/>
                <w:color w:val="000000"/>
                <w:lang w:eastAsia="en-GB"/>
              </w:rPr>
            </w:pPr>
            <w:r>
              <w:rPr>
                <w:rFonts w:ascii="Calibri" w:eastAsia="Times New Roman" w:hAnsi="Calibri" w:cs="Calibri"/>
                <w:color w:val="000000"/>
                <w:lang w:eastAsia="en-GB"/>
              </w:rPr>
              <w:t>Unallocated Capital</w:t>
            </w:r>
          </w:p>
        </w:tc>
        <w:tc>
          <w:tcPr>
            <w:tcW w:w="1569" w:type="dxa"/>
            <w:tcBorders>
              <w:top w:val="single" w:sz="4" w:space="0" w:color="auto"/>
              <w:left w:val="single" w:sz="4" w:space="0" w:color="auto"/>
              <w:bottom w:val="single" w:sz="4" w:space="0" w:color="auto"/>
              <w:right w:val="single" w:sz="4" w:space="0" w:color="auto"/>
            </w:tcBorders>
          </w:tcPr>
          <w:p w14:paraId="434E763F" w14:textId="30682F88" w:rsidR="005D1DE0" w:rsidRDefault="005D1DE0">
            <w:pPr>
              <w:jc w:val="right"/>
              <w:rPr>
                <w:rFonts w:ascii="Calibri" w:eastAsia="Times New Roman" w:hAnsi="Calibri" w:cs="Calibri"/>
                <w:color w:val="000000"/>
                <w:lang w:eastAsia="en-GB"/>
              </w:rPr>
            </w:pPr>
          </w:p>
        </w:tc>
        <w:tc>
          <w:tcPr>
            <w:tcW w:w="1559" w:type="dxa"/>
            <w:tcBorders>
              <w:top w:val="single" w:sz="4" w:space="0" w:color="auto"/>
              <w:left w:val="single" w:sz="4" w:space="0" w:color="auto"/>
              <w:bottom w:val="single" w:sz="4" w:space="0" w:color="auto"/>
              <w:right w:val="single" w:sz="4" w:space="0" w:color="auto"/>
            </w:tcBorders>
          </w:tcPr>
          <w:p w14:paraId="341B38FC" w14:textId="77777777" w:rsidR="005D1DE0" w:rsidRDefault="005D1DE0">
            <w:pPr>
              <w:jc w:val="right"/>
              <w:rPr>
                <w:rFonts w:ascii="Calibri" w:eastAsia="Times New Roman" w:hAnsi="Calibri" w:cs="Calibri"/>
                <w:color w:val="000000"/>
                <w:lang w:eastAsia="en-GB"/>
              </w:rPr>
            </w:pPr>
          </w:p>
        </w:tc>
        <w:tc>
          <w:tcPr>
            <w:tcW w:w="1418" w:type="dxa"/>
            <w:tcBorders>
              <w:top w:val="single" w:sz="4" w:space="0" w:color="auto"/>
              <w:left w:val="single" w:sz="4" w:space="0" w:color="auto"/>
              <w:bottom w:val="single" w:sz="4" w:space="0" w:color="auto"/>
              <w:right w:val="single" w:sz="4" w:space="0" w:color="auto"/>
            </w:tcBorders>
          </w:tcPr>
          <w:p w14:paraId="1365FD2E" w14:textId="77777777" w:rsidR="005D1DE0" w:rsidRDefault="005D1DE0">
            <w:pPr>
              <w:jc w:val="right"/>
              <w:rPr>
                <w:rFonts w:ascii="Calibri" w:eastAsia="Times New Roman" w:hAnsi="Calibri" w:cs="Calibri"/>
                <w:color w:val="000000"/>
                <w:lang w:eastAsia="en-GB"/>
              </w:rPr>
            </w:pPr>
          </w:p>
        </w:tc>
        <w:tc>
          <w:tcPr>
            <w:tcW w:w="1417" w:type="dxa"/>
            <w:tcBorders>
              <w:top w:val="single" w:sz="4" w:space="0" w:color="auto"/>
              <w:left w:val="single" w:sz="4" w:space="0" w:color="auto"/>
              <w:bottom w:val="single" w:sz="4" w:space="0" w:color="auto"/>
              <w:right w:val="single" w:sz="4" w:space="0" w:color="auto"/>
            </w:tcBorders>
          </w:tcPr>
          <w:p w14:paraId="4AAE9B30" w14:textId="77777777" w:rsidR="005D1DE0" w:rsidRDefault="005D1DE0">
            <w:pPr>
              <w:jc w:val="right"/>
              <w:rPr>
                <w:rFonts w:ascii="Calibri" w:eastAsia="Times New Roman" w:hAnsi="Calibri" w:cs="Calibri"/>
                <w:color w:val="000000"/>
                <w:lang w:eastAsia="en-GB"/>
              </w:rPr>
            </w:pPr>
          </w:p>
        </w:tc>
        <w:tc>
          <w:tcPr>
            <w:tcW w:w="1418" w:type="dxa"/>
            <w:tcBorders>
              <w:top w:val="single" w:sz="4" w:space="0" w:color="auto"/>
              <w:left w:val="single" w:sz="4" w:space="0" w:color="auto"/>
              <w:bottom w:val="single" w:sz="4" w:space="0" w:color="auto"/>
              <w:right w:val="single" w:sz="4" w:space="0" w:color="auto"/>
            </w:tcBorders>
          </w:tcPr>
          <w:p w14:paraId="2784533C" w14:textId="77777777" w:rsidR="005D1DE0" w:rsidRDefault="005D1DE0">
            <w:pPr>
              <w:jc w:val="right"/>
              <w:rPr>
                <w:rFonts w:ascii="Calibri" w:eastAsia="Times New Roman" w:hAnsi="Calibri" w:cs="Calibri"/>
                <w:color w:val="000000"/>
                <w:lang w:eastAsia="en-GB"/>
              </w:rPr>
            </w:pPr>
          </w:p>
        </w:tc>
        <w:tc>
          <w:tcPr>
            <w:tcW w:w="1582" w:type="dxa"/>
            <w:tcBorders>
              <w:top w:val="single" w:sz="4" w:space="0" w:color="auto"/>
              <w:left w:val="single" w:sz="4" w:space="0" w:color="auto"/>
              <w:bottom w:val="single" w:sz="4" w:space="0" w:color="auto"/>
              <w:right w:val="single" w:sz="4" w:space="0" w:color="auto"/>
            </w:tcBorders>
          </w:tcPr>
          <w:p w14:paraId="5383F7E6" w14:textId="77777777" w:rsidR="005D1DE0" w:rsidRDefault="005D1DE0">
            <w:pPr>
              <w:jc w:val="right"/>
              <w:rPr>
                <w:rFonts w:ascii="Calibri" w:eastAsia="Times New Roman" w:hAnsi="Calibri" w:cs="Calibri"/>
                <w:color w:val="000000"/>
                <w:lang w:eastAsia="en-GB"/>
              </w:rPr>
            </w:pPr>
          </w:p>
        </w:tc>
        <w:tc>
          <w:tcPr>
            <w:tcW w:w="1275" w:type="dxa"/>
            <w:tcBorders>
              <w:top w:val="single" w:sz="4" w:space="0" w:color="auto"/>
              <w:left w:val="single" w:sz="4" w:space="0" w:color="auto"/>
              <w:bottom w:val="single" w:sz="4" w:space="0" w:color="auto"/>
              <w:right w:val="single" w:sz="4" w:space="0" w:color="auto"/>
            </w:tcBorders>
            <w:noWrap/>
            <w:vAlign w:val="bottom"/>
          </w:tcPr>
          <w:p w14:paraId="08CA03EE" w14:textId="0446EFBF" w:rsidR="005D1DE0" w:rsidRDefault="005D1DE0">
            <w:pPr>
              <w:spacing w:line="360" w:lineRule="auto"/>
              <w:jc w:val="right"/>
              <w:rPr>
                <w:rFonts w:ascii="Calibri" w:eastAsia="Times New Roman" w:hAnsi="Calibri" w:cs="Calibri"/>
                <w:color w:val="000000"/>
                <w:lang w:eastAsia="en-GB"/>
              </w:rPr>
            </w:pPr>
          </w:p>
        </w:tc>
      </w:tr>
      <w:tr w:rsidR="005D1DE0" w14:paraId="0940C343" w14:textId="77777777" w:rsidTr="005D1DE0">
        <w:trPr>
          <w:trHeight w:val="449"/>
        </w:trPr>
        <w:tc>
          <w:tcPr>
            <w:tcW w:w="113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2E51B87" w14:textId="77777777" w:rsidR="005D1DE0" w:rsidRDefault="005D1DE0">
            <w:pPr>
              <w:rPr>
                <w:rFonts w:ascii="Calibri" w:eastAsia="Times New Roman" w:hAnsi="Calibri" w:cs="Calibri"/>
                <w:color w:val="000000"/>
                <w:lang w:eastAsia="en-GB"/>
              </w:rPr>
            </w:pPr>
            <w:r>
              <w:rPr>
                <w:rFonts w:ascii="Calibri" w:eastAsia="Times New Roman" w:hAnsi="Calibri" w:cs="Calibri"/>
                <w:color w:val="000000"/>
                <w:lang w:eastAsia="en-GB"/>
              </w:rPr>
              <w:t> </w:t>
            </w:r>
          </w:p>
        </w:tc>
        <w:tc>
          <w:tcPr>
            <w:tcW w:w="2824" w:type="dxa"/>
            <w:tcBorders>
              <w:top w:val="single" w:sz="4" w:space="0" w:color="auto"/>
              <w:left w:val="single" w:sz="4" w:space="0" w:color="auto"/>
              <w:bottom w:val="single" w:sz="4" w:space="0" w:color="auto"/>
              <w:right w:val="single" w:sz="4" w:space="0" w:color="auto"/>
            </w:tcBorders>
            <w:noWrap/>
            <w:vAlign w:val="center"/>
            <w:hideMark/>
          </w:tcPr>
          <w:p w14:paraId="5A5DFAA9" w14:textId="77777777" w:rsidR="005D1DE0" w:rsidRDefault="005D1DE0">
            <w:pPr>
              <w:rPr>
                <w:rFonts w:ascii="Calibri" w:eastAsia="Times New Roman" w:hAnsi="Calibri" w:cs="Calibri"/>
                <w:color w:val="000000"/>
                <w:lang w:eastAsia="en-GB"/>
              </w:rPr>
            </w:pPr>
            <w:r>
              <w:rPr>
                <w:rFonts w:ascii="Calibri" w:eastAsia="Times New Roman" w:hAnsi="Calibri" w:cs="Calibri"/>
                <w:color w:val="000000"/>
                <w:lang w:eastAsia="en-GB"/>
              </w:rPr>
              <w:t>Total Op Cap</w:t>
            </w:r>
          </w:p>
        </w:tc>
        <w:tc>
          <w:tcPr>
            <w:tcW w:w="1569" w:type="dxa"/>
            <w:tcBorders>
              <w:top w:val="single" w:sz="4" w:space="0" w:color="auto"/>
              <w:left w:val="single" w:sz="4" w:space="0" w:color="auto"/>
              <w:bottom w:val="single" w:sz="4" w:space="0" w:color="auto"/>
              <w:right w:val="single" w:sz="4" w:space="0" w:color="auto"/>
            </w:tcBorders>
          </w:tcPr>
          <w:p w14:paraId="6265FF88" w14:textId="2C2C3092" w:rsidR="005D1DE0" w:rsidRDefault="00EA12AE">
            <w:pPr>
              <w:jc w:val="right"/>
              <w:rPr>
                <w:rFonts w:ascii="Calibri" w:eastAsia="Times New Roman" w:hAnsi="Calibri" w:cs="Calibri"/>
                <w:color w:val="000000"/>
                <w:lang w:eastAsia="en-GB"/>
              </w:rPr>
            </w:pPr>
            <w:r>
              <w:rPr>
                <w:rFonts w:ascii="Calibri" w:eastAsia="Times New Roman" w:hAnsi="Calibri" w:cs="Calibri"/>
                <w:color w:val="000000"/>
                <w:lang w:eastAsia="en-GB"/>
              </w:rPr>
              <w:t>1,800</w:t>
            </w:r>
          </w:p>
        </w:tc>
        <w:tc>
          <w:tcPr>
            <w:tcW w:w="1559" w:type="dxa"/>
            <w:tcBorders>
              <w:top w:val="single" w:sz="4" w:space="0" w:color="auto"/>
              <w:left w:val="single" w:sz="4" w:space="0" w:color="auto"/>
              <w:bottom w:val="single" w:sz="4" w:space="0" w:color="auto"/>
              <w:right w:val="single" w:sz="4" w:space="0" w:color="auto"/>
            </w:tcBorders>
          </w:tcPr>
          <w:p w14:paraId="7E08F1F3" w14:textId="25A80C8C" w:rsidR="005D1DE0" w:rsidRDefault="00EA12AE">
            <w:pPr>
              <w:jc w:val="right"/>
              <w:rPr>
                <w:rFonts w:ascii="Calibri" w:eastAsia="Times New Roman" w:hAnsi="Calibri" w:cs="Calibri"/>
                <w:color w:val="000000"/>
                <w:lang w:eastAsia="en-GB"/>
              </w:rPr>
            </w:pPr>
            <w:r>
              <w:rPr>
                <w:rFonts w:ascii="Calibri" w:eastAsia="Times New Roman" w:hAnsi="Calibri" w:cs="Calibri"/>
                <w:color w:val="000000"/>
                <w:lang w:eastAsia="en-GB"/>
              </w:rPr>
              <w:t>7,102</w:t>
            </w:r>
          </w:p>
        </w:tc>
        <w:tc>
          <w:tcPr>
            <w:tcW w:w="1418" w:type="dxa"/>
            <w:tcBorders>
              <w:top w:val="single" w:sz="4" w:space="0" w:color="auto"/>
              <w:left w:val="single" w:sz="4" w:space="0" w:color="auto"/>
              <w:bottom w:val="single" w:sz="4" w:space="0" w:color="auto"/>
              <w:right w:val="single" w:sz="4" w:space="0" w:color="auto"/>
            </w:tcBorders>
          </w:tcPr>
          <w:p w14:paraId="3836E68C" w14:textId="692DFD27" w:rsidR="005D1DE0" w:rsidRDefault="00EA12AE">
            <w:pPr>
              <w:jc w:val="right"/>
              <w:rPr>
                <w:rFonts w:ascii="Calibri" w:eastAsia="Times New Roman" w:hAnsi="Calibri" w:cs="Calibri"/>
                <w:color w:val="000000"/>
                <w:lang w:eastAsia="en-GB"/>
              </w:rPr>
            </w:pPr>
            <w:r>
              <w:rPr>
                <w:rFonts w:ascii="Calibri" w:eastAsia="Times New Roman" w:hAnsi="Calibri" w:cs="Calibri"/>
                <w:color w:val="000000"/>
                <w:lang w:eastAsia="en-GB"/>
              </w:rPr>
              <w:t>10,667</w:t>
            </w:r>
          </w:p>
        </w:tc>
        <w:tc>
          <w:tcPr>
            <w:tcW w:w="1417" w:type="dxa"/>
            <w:tcBorders>
              <w:top w:val="single" w:sz="4" w:space="0" w:color="auto"/>
              <w:left w:val="single" w:sz="4" w:space="0" w:color="auto"/>
              <w:bottom w:val="single" w:sz="4" w:space="0" w:color="auto"/>
              <w:right w:val="single" w:sz="4" w:space="0" w:color="auto"/>
            </w:tcBorders>
          </w:tcPr>
          <w:p w14:paraId="2D3758A9" w14:textId="786DE723" w:rsidR="005D1DE0" w:rsidRDefault="00EA12AE">
            <w:pPr>
              <w:jc w:val="right"/>
              <w:rPr>
                <w:rFonts w:ascii="Calibri" w:eastAsia="Times New Roman" w:hAnsi="Calibri" w:cs="Calibri"/>
                <w:color w:val="000000"/>
                <w:lang w:eastAsia="en-GB"/>
              </w:rPr>
            </w:pPr>
            <w:r>
              <w:rPr>
                <w:rFonts w:ascii="Calibri" w:eastAsia="Times New Roman" w:hAnsi="Calibri" w:cs="Calibri"/>
                <w:color w:val="000000"/>
                <w:lang w:eastAsia="en-GB"/>
              </w:rPr>
              <w:t>2,605</w:t>
            </w:r>
          </w:p>
        </w:tc>
        <w:tc>
          <w:tcPr>
            <w:tcW w:w="1418" w:type="dxa"/>
            <w:tcBorders>
              <w:top w:val="single" w:sz="4" w:space="0" w:color="auto"/>
              <w:left w:val="single" w:sz="4" w:space="0" w:color="auto"/>
              <w:bottom w:val="single" w:sz="4" w:space="0" w:color="auto"/>
              <w:right w:val="single" w:sz="4" w:space="0" w:color="auto"/>
            </w:tcBorders>
          </w:tcPr>
          <w:p w14:paraId="3F511007" w14:textId="4CDE70F8" w:rsidR="005D1DE0" w:rsidRDefault="00EA12AE">
            <w:pPr>
              <w:jc w:val="right"/>
              <w:rPr>
                <w:rFonts w:ascii="Calibri" w:eastAsia="Times New Roman" w:hAnsi="Calibri" w:cs="Calibri"/>
                <w:color w:val="000000"/>
                <w:lang w:eastAsia="en-GB"/>
              </w:rPr>
            </w:pPr>
            <w:r>
              <w:rPr>
                <w:rFonts w:ascii="Calibri" w:eastAsia="Times New Roman" w:hAnsi="Calibri" w:cs="Calibri"/>
                <w:color w:val="000000"/>
                <w:lang w:eastAsia="en-GB"/>
              </w:rPr>
              <w:t>7,890</w:t>
            </w:r>
          </w:p>
        </w:tc>
        <w:tc>
          <w:tcPr>
            <w:tcW w:w="1582" w:type="dxa"/>
            <w:tcBorders>
              <w:top w:val="single" w:sz="4" w:space="0" w:color="auto"/>
              <w:left w:val="single" w:sz="4" w:space="0" w:color="auto"/>
              <w:bottom w:val="single" w:sz="4" w:space="0" w:color="auto"/>
              <w:right w:val="single" w:sz="4" w:space="0" w:color="auto"/>
            </w:tcBorders>
          </w:tcPr>
          <w:p w14:paraId="00F505EE" w14:textId="00076FBD" w:rsidR="005D1DE0" w:rsidRDefault="00EA12AE">
            <w:pPr>
              <w:jc w:val="right"/>
              <w:rPr>
                <w:rFonts w:ascii="Calibri" w:eastAsia="Times New Roman" w:hAnsi="Calibri" w:cs="Calibri"/>
                <w:color w:val="000000"/>
                <w:lang w:eastAsia="en-GB"/>
              </w:rPr>
            </w:pPr>
            <w:r>
              <w:rPr>
                <w:rFonts w:ascii="Calibri" w:eastAsia="Times New Roman" w:hAnsi="Calibri" w:cs="Calibri"/>
                <w:color w:val="000000"/>
                <w:lang w:eastAsia="en-GB"/>
              </w:rPr>
              <w:t>23,909</w:t>
            </w:r>
          </w:p>
        </w:tc>
        <w:tc>
          <w:tcPr>
            <w:tcW w:w="1275" w:type="dxa"/>
            <w:tcBorders>
              <w:top w:val="single" w:sz="4" w:space="0" w:color="auto"/>
              <w:left w:val="single" w:sz="4" w:space="0" w:color="auto"/>
              <w:bottom w:val="single" w:sz="4" w:space="0" w:color="auto"/>
              <w:right w:val="single" w:sz="4" w:space="0" w:color="auto"/>
            </w:tcBorders>
            <w:noWrap/>
            <w:vAlign w:val="bottom"/>
          </w:tcPr>
          <w:p w14:paraId="52F12C63" w14:textId="0BE6D1C0" w:rsidR="005D1DE0" w:rsidRDefault="00830809">
            <w:pPr>
              <w:spacing w:line="36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53,973</w:t>
            </w:r>
          </w:p>
        </w:tc>
      </w:tr>
      <w:tr w:rsidR="005D1DE0" w14:paraId="204AC7BD" w14:textId="77777777" w:rsidTr="005D1DE0">
        <w:trPr>
          <w:trHeight w:val="449"/>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148F927F" w14:textId="77777777" w:rsidR="005D1DE0" w:rsidRDefault="005D1DE0">
            <w:pPr>
              <w:rPr>
                <w:rFonts w:ascii="Calibri" w:eastAsia="Times New Roman" w:hAnsi="Calibri" w:cs="Calibri"/>
                <w:color w:val="000000"/>
                <w:lang w:eastAsia="en-GB"/>
              </w:rPr>
            </w:pPr>
            <w:r>
              <w:rPr>
                <w:rFonts w:ascii="Calibri" w:eastAsia="Times New Roman" w:hAnsi="Calibri" w:cs="Calibri"/>
                <w:color w:val="000000"/>
                <w:lang w:eastAsia="en-GB"/>
              </w:rPr>
              <w:t>Provider</w:t>
            </w:r>
          </w:p>
        </w:tc>
        <w:tc>
          <w:tcPr>
            <w:tcW w:w="2824" w:type="dxa"/>
            <w:tcBorders>
              <w:top w:val="single" w:sz="4" w:space="0" w:color="auto"/>
              <w:left w:val="single" w:sz="4" w:space="0" w:color="auto"/>
              <w:bottom w:val="single" w:sz="4" w:space="0" w:color="auto"/>
              <w:right w:val="single" w:sz="4" w:space="0" w:color="auto"/>
            </w:tcBorders>
            <w:noWrap/>
            <w:vAlign w:val="center"/>
            <w:hideMark/>
          </w:tcPr>
          <w:p w14:paraId="62F3CB9B" w14:textId="77777777" w:rsidR="005D1DE0" w:rsidRDefault="005D1DE0">
            <w:pPr>
              <w:rPr>
                <w:rFonts w:ascii="Calibri" w:eastAsia="Times New Roman" w:hAnsi="Calibri" w:cs="Calibri"/>
                <w:color w:val="000000"/>
                <w:lang w:eastAsia="en-GB"/>
              </w:rPr>
            </w:pPr>
            <w:r>
              <w:rPr>
                <w:rFonts w:ascii="Calibri" w:eastAsia="Times New Roman" w:hAnsi="Calibri" w:cs="Calibri"/>
                <w:color w:val="000000"/>
                <w:lang w:eastAsia="en-GB"/>
              </w:rPr>
              <w:t>Impact of IFRS 16</w:t>
            </w:r>
          </w:p>
        </w:tc>
        <w:tc>
          <w:tcPr>
            <w:tcW w:w="1569" w:type="dxa"/>
            <w:tcBorders>
              <w:top w:val="single" w:sz="4" w:space="0" w:color="auto"/>
              <w:left w:val="single" w:sz="4" w:space="0" w:color="auto"/>
              <w:bottom w:val="single" w:sz="4" w:space="0" w:color="auto"/>
              <w:right w:val="single" w:sz="4" w:space="0" w:color="auto"/>
            </w:tcBorders>
            <w:shd w:val="clear" w:color="auto" w:fill="EEECE1" w:themeFill="background2"/>
          </w:tcPr>
          <w:p w14:paraId="3DD6DF5D" w14:textId="77777777" w:rsidR="005D1DE0" w:rsidRDefault="005D1DE0">
            <w:pPr>
              <w:jc w:val="right"/>
              <w:rPr>
                <w:rFonts w:ascii="Calibri" w:eastAsia="Times New Roman" w:hAnsi="Calibri" w:cs="Calibri"/>
                <w:color w:val="000000"/>
                <w:lang w:eastAsia="en-GB"/>
              </w:rPr>
            </w:pPr>
          </w:p>
        </w:tc>
        <w:tc>
          <w:tcPr>
            <w:tcW w:w="1559" w:type="dxa"/>
            <w:tcBorders>
              <w:top w:val="single" w:sz="4" w:space="0" w:color="auto"/>
              <w:left w:val="single" w:sz="4" w:space="0" w:color="auto"/>
              <w:bottom w:val="single" w:sz="4" w:space="0" w:color="auto"/>
              <w:right w:val="single" w:sz="4" w:space="0" w:color="auto"/>
            </w:tcBorders>
          </w:tcPr>
          <w:p w14:paraId="7743B565" w14:textId="0DBE78A0" w:rsidR="005D1DE0" w:rsidRDefault="00FC6743">
            <w:pPr>
              <w:jc w:val="right"/>
              <w:rPr>
                <w:rFonts w:ascii="Calibri" w:eastAsia="Times New Roman" w:hAnsi="Calibri" w:cs="Calibri"/>
                <w:color w:val="000000"/>
                <w:lang w:eastAsia="en-GB"/>
              </w:rPr>
            </w:pPr>
            <w:r>
              <w:rPr>
                <w:rFonts w:ascii="Calibri" w:eastAsia="Times New Roman" w:hAnsi="Calibri" w:cs="Calibri"/>
                <w:color w:val="000000"/>
                <w:lang w:eastAsia="en-GB"/>
              </w:rPr>
              <w:t>250</w:t>
            </w:r>
          </w:p>
        </w:tc>
        <w:tc>
          <w:tcPr>
            <w:tcW w:w="1418" w:type="dxa"/>
            <w:tcBorders>
              <w:top w:val="single" w:sz="4" w:space="0" w:color="auto"/>
              <w:left w:val="single" w:sz="4" w:space="0" w:color="auto"/>
              <w:bottom w:val="single" w:sz="4" w:space="0" w:color="auto"/>
              <w:right w:val="single" w:sz="4" w:space="0" w:color="auto"/>
            </w:tcBorders>
          </w:tcPr>
          <w:p w14:paraId="7B92CFE2" w14:textId="0509CF8C" w:rsidR="005D1DE0" w:rsidRDefault="00713AA8">
            <w:pPr>
              <w:jc w:val="right"/>
              <w:rPr>
                <w:rFonts w:ascii="Calibri" w:eastAsia="Times New Roman" w:hAnsi="Calibri" w:cs="Calibri"/>
                <w:color w:val="000000"/>
                <w:lang w:eastAsia="en-GB"/>
              </w:rPr>
            </w:pPr>
            <w:r>
              <w:rPr>
                <w:rFonts w:ascii="Calibri" w:eastAsia="Times New Roman" w:hAnsi="Calibri" w:cs="Calibri"/>
                <w:color w:val="000000"/>
                <w:lang w:eastAsia="en-GB"/>
              </w:rPr>
              <w:t>3,398</w:t>
            </w:r>
          </w:p>
        </w:tc>
        <w:tc>
          <w:tcPr>
            <w:tcW w:w="1417" w:type="dxa"/>
            <w:tcBorders>
              <w:top w:val="single" w:sz="4" w:space="0" w:color="auto"/>
              <w:left w:val="single" w:sz="4" w:space="0" w:color="auto"/>
              <w:bottom w:val="single" w:sz="4" w:space="0" w:color="auto"/>
              <w:right w:val="single" w:sz="4" w:space="0" w:color="auto"/>
            </w:tcBorders>
          </w:tcPr>
          <w:p w14:paraId="4A3E1C65" w14:textId="5C4DBD3C" w:rsidR="005D1DE0" w:rsidRDefault="00713AA8">
            <w:pPr>
              <w:jc w:val="right"/>
              <w:rPr>
                <w:rFonts w:ascii="Calibri" w:eastAsia="Times New Roman" w:hAnsi="Calibri" w:cs="Calibri"/>
                <w:color w:val="000000"/>
                <w:lang w:eastAsia="en-GB"/>
              </w:rPr>
            </w:pPr>
            <w:r>
              <w:rPr>
                <w:rFonts w:ascii="Calibri" w:eastAsia="Times New Roman" w:hAnsi="Calibri" w:cs="Calibri"/>
                <w:color w:val="000000"/>
                <w:lang w:eastAsia="en-GB"/>
              </w:rPr>
              <w:t>693</w:t>
            </w:r>
          </w:p>
        </w:tc>
        <w:tc>
          <w:tcPr>
            <w:tcW w:w="1418" w:type="dxa"/>
            <w:tcBorders>
              <w:top w:val="single" w:sz="4" w:space="0" w:color="auto"/>
              <w:left w:val="single" w:sz="4" w:space="0" w:color="auto"/>
              <w:bottom w:val="single" w:sz="4" w:space="0" w:color="auto"/>
              <w:right w:val="single" w:sz="4" w:space="0" w:color="auto"/>
            </w:tcBorders>
          </w:tcPr>
          <w:p w14:paraId="4BD41BF1" w14:textId="4C4141DB" w:rsidR="005D1DE0" w:rsidRDefault="00713AA8">
            <w:pPr>
              <w:jc w:val="right"/>
              <w:rPr>
                <w:rFonts w:ascii="Calibri" w:eastAsia="Times New Roman" w:hAnsi="Calibri" w:cs="Calibri"/>
                <w:color w:val="000000"/>
                <w:lang w:eastAsia="en-GB"/>
              </w:rPr>
            </w:pPr>
            <w:r>
              <w:rPr>
                <w:rFonts w:ascii="Calibri" w:eastAsia="Times New Roman" w:hAnsi="Calibri" w:cs="Calibri"/>
                <w:color w:val="000000"/>
                <w:lang w:eastAsia="en-GB"/>
              </w:rPr>
              <w:t>12,300</w:t>
            </w:r>
          </w:p>
        </w:tc>
        <w:tc>
          <w:tcPr>
            <w:tcW w:w="1582" w:type="dxa"/>
            <w:tcBorders>
              <w:top w:val="single" w:sz="4" w:space="0" w:color="auto"/>
              <w:left w:val="single" w:sz="4" w:space="0" w:color="auto"/>
              <w:bottom w:val="single" w:sz="4" w:space="0" w:color="auto"/>
              <w:right w:val="single" w:sz="4" w:space="0" w:color="auto"/>
            </w:tcBorders>
          </w:tcPr>
          <w:p w14:paraId="08974A07" w14:textId="2318DC02" w:rsidR="005D1DE0" w:rsidRDefault="00B47264">
            <w:pPr>
              <w:jc w:val="right"/>
              <w:rPr>
                <w:rFonts w:ascii="Calibri" w:eastAsia="Times New Roman" w:hAnsi="Calibri" w:cs="Calibri"/>
                <w:color w:val="000000"/>
                <w:lang w:eastAsia="en-GB"/>
              </w:rPr>
            </w:pPr>
            <w:r>
              <w:rPr>
                <w:rFonts w:ascii="Calibri" w:eastAsia="Times New Roman" w:hAnsi="Calibri" w:cs="Calibri"/>
                <w:color w:val="000000"/>
                <w:lang w:eastAsia="en-GB"/>
              </w:rPr>
              <w:t>7,820</w:t>
            </w:r>
          </w:p>
        </w:tc>
        <w:tc>
          <w:tcPr>
            <w:tcW w:w="1275" w:type="dxa"/>
            <w:tcBorders>
              <w:top w:val="single" w:sz="4" w:space="0" w:color="auto"/>
              <w:left w:val="single" w:sz="4" w:space="0" w:color="auto"/>
              <w:bottom w:val="single" w:sz="4" w:space="0" w:color="auto"/>
              <w:right w:val="single" w:sz="4" w:space="0" w:color="auto"/>
            </w:tcBorders>
            <w:noWrap/>
            <w:vAlign w:val="bottom"/>
          </w:tcPr>
          <w:p w14:paraId="2EFFA431" w14:textId="1CDBF41A" w:rsidR="005D1DE0" w:rsidRDefault="00B47264">
            <w:pPr>
              <w:spacing w:line="36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24,461</w:t>
            </w:r>
          </w:p>
        </w:tc>
      </w:tr>
      <w:tr w:rsidR="005D1DE0" w14:paraId="1FC919AE" w14:textId="77777777" w:rsidTr="005D1DE0">
        <w:trPr>
          <w:trHeight w:val="449"/>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6FDD72A0" w14:textId="77777777" w:rsidR="005D1DE0" w:rsidRDefault="005D1DE0">
            <w:pPr>
              <w:rPr>
                <w:rFonts w:ascii="Calibri" w:eastAsia="Times New Roman" w:hAnsi="Calibri" w:cs="Calibri"/>
                <w:color w:val="000000"/>
                <w:lang w:eastAsia="en-GB"/>
              </w:rPr>
            </w:pPr>
            <w:r>
              <w:rPr>
                <w:rFonts w:ascii="Calibri" w:eastAsia="Times New Roman" w:hAnsi="Calibri" w:cs="Calibri"/>
                <w:color w:val="000000"/>
                <w:lang w:eastAsia="en-GB"/>
              </w:rPr>
              <w:t>ICB</w:t>
            </w:r>
          </w:p>
        </w:tc>
        <w:tc>
          <w:tcPr>
            <w:tcW w:w="2824" w:type="dxa"/>
            <w:tcBorders>
              <w:top w:val="single" w:sz="4" w:space="0" w:color="auto"/>
              <w:left w:val="single" w:sz="4" w:space="0" w:color="auto"/>
              <w:bottom w:val="single" w:sz="4" w:space="0" w:color="auto"/>
              <w:right w:val="single" w:sz="4" w:space="0" w:color="auto"/>
            </w:tcBorders>
            <w:noWrap/>
            <w:vAlign w:val="center"/>
            <w:hideMark/>
          </w:tcPr>
          <w:p w14:paraId="1D836395" w14:textId="77777777" w:rsidR="005D1DE0" w:rsidRDefault="005D1DE0">
            <w:pPr>
              <w:rPr>
                <w:rFonts w:ascii="Calibri" w:eastAsia="Times New Roman" w:hAnsi="Calibri" w:cs="Calibri"/>
                <w:color w:val="000000"/>
                <w:lang w:eastAsia="en-GB"/>
              </w:rPr>
            </w:pPr>
            <w:r>
              <w:rPr>
                <w:rFonts w:ascii="Calibri" w:eastAsia="Times New Roman" w:hAnsi="Calibri" w:cs="Calibri"/>
                <w:color w:val="000000"/>
                <w:lang w:eastAsia="en-GB"/>
              </w:rPr>
              <w:t>Impact of IFRS 16</w:t>
            </w:r>
          </w:p>
        </w:tc>
        <w:tc>
          <w:tcPr>
            <w:tcW w:w="1569" w:type="dxa"/>
            <w:tcBorders>
              <w:top w:val="single" w:sz="4" w:space="0" w:color="auto"/>
              <w:left w:val="single" w:sz="4" w:space="0" w:color="auto"/>
              <w:bottom w:val="single" w:sz="4" w:space="0" w:color="auto"/>
              <w:right w:val="single" w:sz="4" w:space="0" w:color="auto"/>
            </w:tcBorders>
          </w:tcPr>
          <w:p w14:paraId="548FFD8E" w14:textId="4A75C120" w:rsidR="005D1DE0" w:rsidRDefault="005D1DE0">
            <w:pPr>
              <w:jc w:val="right"/>
              <w:rPr>
                <w:rFonts w:ascii="Calibri" w:eastAsia="Times New Roman" w:hAnsi="Calibri" w:cs="Calibri"/>
                <w:color w:val="000000"/>
                <w:lang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tcPr>
          <w:p w14:paraId="32FF13CB" w14:textId="77777777" w:rsidR="005D1DE0" w:rsidRDefault="005D1DE0">
            <w:pPr>
              <w:jc w:val="right"/>
              <w:rPr>
                <w:rFonts w:ascii="Calibri" w:eastAsia="Times New Roman" w:hAnsi="Calibri" w:cs="Calibri"/>
                <w:color w:val="00000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14:paraId="7EA7191A" w14:textId="77777777" w:rsidR="005D1DE0" w:rsidRDefault="005D1DE0">
            <w:pPr>
              <w:jc w:val="right"/>
              <w:rPr>
                <w:rFonts w:ascii="Calibri" w:eastAsia="Times New Roman" w:hAnsi="Calibri" w:cs="Calibri"/>
                <w:color w:val="00000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6B7AE9C9" w14:textId="77777777" w:rsidR="005D1DE0" w:rsidRDefault="005D1DE0">
            <w:pPr>
              <w:jc w:val="right"/>
              <w:rPr>
                <w:rFonts w:ascii="Calibri" w:eastAsia="Times New Roman" w:hAnsi="Calibri" w:cs="Calibri"/>
                <w:color w:val="00000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14:paraId="6567C139" w14:textId="77777777" w:rsidR="005D1DE0" w:rsidRDefault="005D1DE0">
            <w:pPr>
              <w:jc w:val="right"/>
              <w:rPr>
                <w:rFonts w:ascii="Calibri" w:eastAsia="Times New Roman" w:hAnsi="Calibri" w:cs="Calibri"/>
                <w:color w:val="000000"/>
                <w:lang w:eastAsia="en-GB"/>
              </w:rPr>
            </w:pPr>
          </w:p>
        </w:tc>
        <w:tc>
          <w:tcPr>
            <w:tcW w:w="1582" w:type="dxa"/>
            <w:tcBorders>
              <w:top w:val="single" w:sz="4" w:space="0" w:color="auto"/>
              <w:left w:val="single" w:sz="4" w:space="0" w:color="auto"/>
              <w:bottom w:val="single" w:sz="4" w:space="0" w:color="auto"/>
              <w:right w:val="single" w:sz="4" w:space="0" w:color="auto"/>
            </w:tcBorders>
            <w:shd w:val="clear" w:color="auto" w:fill="EEECE1" w:themeFill="background2"/>
          </w:tcPr>
          <w:p w14:paraId="58B506DF" w14:textId="77777777" w:rsidR="005D1DE0" w:rsidRDefault="005D1DE0">
            <w:pPr>
              <w:jc w:val="right"/>
              <w:rPr>
                <w:rFonts w:ascii="Calibri" w:eastAsia="Times New Roman" w:hAnsi="Calibri" w:cs="Calibri"/>
                <w:color w:val="000000"/>
                <w:lang w:eastAsia="en-GB"/>
              </w:rPr>
            </w:pPr>
          </w:p>
        </w:tc>
        <w:tc>
          <w:tcPr>
            <w:tcW w:w="1275" w:type="dxa"/>
            <w:tcBorders>
              <w:top w:val="single" w:sz="4" w:space="0" w:color="auto"/>
              <w:left w:val="single" w:sz="4" w:space="0" w:color="auto"/>
              <w:bottom w:val="single" w:sz="4" w:space="0" w:color="auto"/>
              <w:right w:val="single" w:sz="4" w:space="0" w:color="auto"/>
            </w:tcBorders>
            <w:noWrap/>
            <w:vAlign w:val="bottom"/>
          </w:tcPr>
          <w:p w14:paraId="33D57A7F" w14:textId="0C9BA781" w:rsidR="005D1DE0" w:rsidRDefault="005D1DE0">
            <w:pPr>
              <w:spacing w:line="360" w:lineRule="auto"/>
              <w:jc w:val="right"/>
              <w:rPr>
                <w:rFonts w:ascii="Calibri" w:eastAsia="Times New Roman" w:hAnsi="Calibri" w:cs="Calibri"/>
                <w:color w:val="000000"/>
                <w:lang w:eastAsia="en-GB"/>
              </w:rPr>
            </w:pPr>
          </w:p>
        </w:tc>
      </w:tr>
      <w:tr w:rsidR="005D1DE0" w14:paraId="3BB0A726" w14:textId="77777777" w:rsidTr="005D1DE0">
        <w:trPr>
          <w:trHeight w:val="449"/>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04FD6B00" w14:textId="77777777" w:rsidR="005D1DE0" w:rsidRDefault="005D1DE0">
            <w:pPr>
              <w:rPr>
                <w:rFonts w:ascii="Calibri" w:eastAsia="Times New Roman" w:hAnsi="Calibri" w:cs="Calibri"/>
                <w:color w:val="000000"/>
                <w:lang w:eastAsia="en-GB"/>
              </w:rPr>
            </w:pPr>
            <w:r>
              <w:rPr>
                <w:rFonts w:ascii="Calibri" w:eastAsia="Times New Roman" w:hAnsi="Calibri" w:cs="Calibri"/>
                <w:color w:val="000000"/>
                <w:lang w:eastAsia="en-GB"/>
              </w:rPr>
              <w:t>Provider</w:t>
            </w:r>
          </w:p>
        </w:tc>
        <w:tc>
          <w:tcPr>
            <w:tcW w:w="2824" w:type="dxa"/>
            <w:tcBorders>
              <w:top w:val="single" w:sz="4" w:space="0" w:color="auto"/>
              <w:left w:val="single" w:sz="4" w:space="0" w:color="auto"/>
              <w:bottom w:val="single" w:sz="4" w:space="0" w:color="auto"/>
              <w:right w:val="single" w:sz="4" w:space="0" w:color="auto"/>
            </w:tcBorders>
            <w:noWrap/>
            <w:vAlign w:val="center"/>
            <w:hideMark/>
          </w:tcPr>
          <w:p w14:paraId="08FEA07E" w14:textId="77777777" w:rsidR="005D1DE0" w:rsidRDefault="005D1DE0">
            <w:pPr>
              <w:rPr>
                <w:rFonts w:ascii="Calibri" w:eastAsia="Times New Roman" w:hAnsi="Calibri" w:cs="Calibri"/>
                <w:color w:val="000000"/>
                <w:lang w:eastAsia="en-GB"/>
              </w:rPr>
            </w:pPr>
            <w:r>
              <w:rPr>
                <w:rFonts w:ascii="Calibri" w:eastAsia="Times New Roman" w:hAnsi="Calibri" w:cs="Calibri"/>
                <w:color w:val="000000"/>
                <w:lang w:eastAsia="en-GB"/>
              </w:rPr>
              <w:t>Upgrades &amp; NHP Programmes PDC</w:t>
            </w:r>
          </w:p>
        </w:tc>
        <w:tc>
          <w:tcPr>
            <w:tcW w:w="1569" w:type="dxa"/>
            <w:tcBorders>
              <w:top w:val="single" w:sz="4" w:space="0" w:color="auto"/>
              <w:left w:val="single" w:sz="4" w:space="0" w:color="auto"/>
              <w:bottom w:val="single" w:sz="4" w:space="0" w:color="auto"/>
              <w:right w:val="single" w:sz="4" w:space="0" w:color="auto"/>
            </w:tcBorders>
            <w:shd w:val="clear" w:color="auto" w:fill="EEECE1" w:themeFill="background2"/>
          </w:tcPr>
          <w:p w14:paraId="2B5FABCF" w14:textId="77777777" w:rsidR="005D1DE0" w:rsidRDefault="005D1DE0">
            <w:pPr>
              <w:jc w:val="right"/>
              <w:rPr>
                <w:rFonts w:ascii="Calibri" w:eastAsia="Times New Roman" w:hAnsi="Calibri" w:cs="Calibri"/>
                <w:color w:val="000000"/>
                <w:lang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tcPr>
          <w:p w14:paraId="104EFA38" w14:textId="3BE99219" w:rsidR="005D1DE0" w:rsidRDefault="005D1DE0">
            <w:pPr>
              <w:jc w:val="right"/>
              <w:rPr>
                <w:rFonts w:ascii="Calibri" w:eastAsia="Times New Roman" w:hAnsi="Calibri" w:cs="Calibri"/>
                <w:color w:val="00000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14:paraId="40E1FDE7" w14:textId="2ABD516D" w:rsidR="005D1DE0" w:rsidRDefault="005D1DE0">
            <w:pPr>
              <w:jc w:val="right"/>
              <w:rPr>
                <w:rFonts w:ascii="Calibri" w:eastAsia="Times New Roman" w:hAnsi="Calibri" w:cs="Calibri"/>
                <w:color w:val="00000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38D64C4D" w14:textId="1C34A57C" w:rsidR="005D1DE0" w:rsidRDefault="005D1DE0">
            <w:pPr>
              <w:jc w:val="right"/>
              <w:rPr>
                <w:rFonts w:ascii="Calibri" w:eastAsia="Times New Roman" w:hAnsi="Calibri" w:cs="Calibri"/>
                <w:color w:val="00000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14:paraId="103A0775" w14:textId="6725477E" w:rsidR="005D1DE0" w:rsidRDefault="005D1DE0">
            <w:pPr>
              <w:jc w:val="right"/>
              <w:rPr>
                <w:rFonts w:ascii="Calibri" w:eastAsia="Times New Roman" w:hAnsi="Calibri" w:cs="Calibri"/>
                <w:color w:val="000000"/>
                <w:lang w:eastAsia="en-GB"/>
              </w:rPr>
            </w:pPr>
          </w:p>
        </w:tc>
        <w:tc>
          <w:tcPr>
            <w:tcW w:w="1582" w:type="dxa"/>
            <w:tcBorders>
              <w:top w:val="single" w:sz="4" w:space="0" w:color="auto"/>
              <w:left w:val="single" w:sz="4" w:space="0" w:color="auto"/>
              <w:bottom w:val="single" w:sz="4" w:space="0" w:color="auto"/>
              <w:right w:val="single" w:sz="4" w:space="0" w:color="auto"/>
            </w:tcBorders>
            <w:shd w:val="clear" w:color="auto" w:fill="EEECE1" w:themeFill="background2"/>
          </w:tcPr>
          <w:p w14:paraId="41792809" w14:textId="7F2C722E" w:rsidR="005D1DE0" w:rsidRDefault="005D1DE0">
            <w:pPr>
              <w:jc w:val="right"/>
              <w:rPr>
                <w:rFonts w:ascii="Calibri" w:eastAsia="Times New Roman" w:hAnsi="Calibri" w:cs="Calibri"/>
                <w:color w:val="000000"/>
                <w:lang w:eastAsia="en-GB"/>
              </w:rPr>
            </w:pPr>
          </w:p>
        </w:tc>
        <w:tc>
          <w:tcPr>
            <w:tcW w:w="1275" w:type="dxa"/>
            <w:tcBorders>
              <w:top w:val="single" w:sz="4" w:space="0" w:color="auto"/>
              <w:left w:val="single" w:sz="4" w:space="0" w:color="auto"/>
              <w:bottom w:val="single" w:sz="4" w:space="0" w:color="auto"/>
              <w:right w:val="single" w:sz="4" w:space="0" w:color="auto"/>
            </w:tcBorders>
            <w:noWrap/>
            <w:vAlign w:val="bottom"/>
          </w:tcPr>
          <w:p w14:paraId="6001AF58" w14:textId="65BC2D8D" w:rsidR="005D1DE0" w:rsidRDefault="005D1DE0" w:rsidP="005D1DE0">
            <w:pPr>
              <w:spacing w:line="360" w:lineRule="auto"/>
              <w:jc w:val="right"/>
              <w:rPr>
                <w:rFonts w:ascii="Calibri" w:eastAsia="Times New Roman" w:hAnsi="Calibri" w:cs="Calibri"/>
                <w:color w:val="000000"/>
                <w:lang w:eastAsia="en-GB"/>
              </w:rPr>
            </w:pPr>
          </w:p>
        </w:tc>
      </w:tr>
      <w:tr w:rsidR="005D1DE0" w14:paraId="79F6EF14" w14:textId="77777777" w:rsidTr="005D1DE0">
        <w:trPr>
          <w:trHeight w:val="449"/>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03093107" w14:textId="77777777" w:rsidR="005D1DE0" w:rsidRDefault="005D1DE0">
            <w:pPr>
              <w:rPr>
                <w:rFonts w:ascii="Calibri" w:eastAsia="Times New Roman" w:hAnsi="Calibri" w:cs="Calibri"/>
                <w:color w:val="000000"/>
                <w:lang w:eastAsia="en-GB"/>
              </w:rPr>
            </w:pPr>
            <w:r>
              <w:rPr>
                <w:rFonts w:ascii="Calibri" w:eastAsia="Times New Roman" w:hAnsi="Calibri" w:cs="Calibri"/>
                <w:color w:val="000000"/>
                <w:lang w:eastAsia="en-GB"/>
              </w:rPr>
              <w:lastRenderedPageBreak/>
              <w:t>Provider</w:t>
            </w:r>
          </w:p>
        </w:tc>
        <w:tc>
          <w:tcPr>
            <w:tcW w:w="2824" w:type="dxa"/>
            <w:tcBorders>
              <w:top w:val="single" w:sz="4" w:space="0" w:color="auto"/>
              <w:left w:val="single" w:sz="4" w:space="0" w:color="auto"/>
              <w:bottom w:val="single" w:sz="4" w:space="0" w:color="auto"/>
              <w:right w:val="single" w:sz="4" w:space="0" w:color="auto"/>
            </w:tcBorders>
            <w:noWrap/>
            <w:vAlign w:val="center"/>
            <w:hideMark/>
          </w:tcPr>
          <w:p w14:paraId="12AA9351" w14:textId="77777777" w:rsidR="005D1DE0" w:rsidRDefault="005D1DE0">
            <w:pPr>
              <w:rPr>
                <w:rFonts w:ascii="Calibri" w:eastAsia="Times New Roman" w:hAnsi="Calibri" w:cs="Calibri"/>
                <w:color w:val="000000"/>
                <w:lang w:eastAsia="en-GB"/>
              </w:rPr>
            </w:pPr>
            <w:r>
              <w:rPr>
                <w:rFonts w:ascii="Calibri" w:eastAsia="Times New Roman" w:hAnsi="Calibri" w:cs="Calibri"/>
                <w:color w:val="000000"/>
                <w:lang w:eastAsia="en-GB"/>
              </w:rPr>
              <w:t>National Programmes (diagnostics, Front line digitisation, Mental Health, TIF) PDC</w:t>
            </w:r>
          </w:p>
        </w:tc>
        <w:tc>
          <w:tcPr>
            <w:tcW w:w="1569" w:type="dxa"/>
            <w:tcBorders>
              <w:top w:val="single" w:sz="4" w:space="0" w:color="auto"/>
              <w:left w:val="single" w:sz="4" w:space="0" w:color="auto"/>
              <w:bottom w:val="single" w:sz="4" w:space="0" w:color="auto"/>
              <w:right w:val="single" w:sz="4" w:space="0" w:color="auto"/>
            </w:tcBorders>
            <w:shd w:val="clear" w:color="auto" w:fill="EEECE1" w:themeFill="background2"/>
          </w:tcPr>
          <w:p w14:paraId="34E23FA1" w14:textId="77777777" w:rsidR="005D1DE0" w:rsidRDefault="005D1DE0">
            <w:pPr>
              <w:jc w:val="right"/>
              <w:rPr>
                <w:rFonts w:ascii="Calibri" w:eastAsia="Times New Roman" w:hAnsi="Calibri" w:cs="Calibri"/>
                <w:color w:val="000000"/>
                <w:lang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tcPr>
          <w:p w14:paraId="66AFCC9E" w14:textId="01C199BE" w:rsidR="005D1DE0" w:rsidRDefault="005D1DE0">
            <w:pPr>
              <w:jc w:val="right"/>
              <w:rPr>
                <w:rFonts w:ascii="Calibri" w:eastAsia="Times New Roman" w:hAnsi="Calibri" w:cs="Calibri"/>
                <w:color w:val="00000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14:paraId="0149AE08" w14:textId="3AA21466" w:rsidR="005D1DE0" w:rsidRDefault="002C089D">
            <w:pPr>
              <w:jc w:val="right"/>
              <w:rPr>
                <w:rFonts w:ascii="Calibri" w:eastAsia="Times New Roman" w:hAnsi="Calibri" w:cs="Calibri"/>
                <w:color w:val="000000"/>
                <w:lang w:eastAsia="en-GB"/>
              </w:rPr>
            </w:pPr>
            <w:r>
              <w:rPr>
                <w:rFonts w:ascii="Calibri" w:eastAsia="Times New Roman" w:hAnsi="Calibri" w:cs="Calibri"/>
                <w:color w:val="000000"/>
                <w:lang w:eastAsia="en-GB"/>
              </w:rPr>
              <w:t>4,900</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02A61A37" w14:textId="4F352D82" w:rsidR="005D1DE0" w:rsidRDefault="006D32D7">
            <w:pPr>
              <w:jc w:val="right"/>
              <w:rPr>
                <w:rFonts w:ascii="Calibri" w:eastAsia="Times New Roman" w:hAnsi="Calibri" w:cs="Calibri"/>
                <w:color w:val="000000"/>
                <w:lang w:eastAsia="en-GB"/>
              </w:rPr>
            </w:pPr>
            <w:r>
              <w:rPr>
                <w:rFonts w:ascii="Calibri" w:eastAsia="Times New Roman" w:hAnsi="Calibri" w:cs="Calibri"/>
                <w:color w:val="000000"/>
                <w:lang w:eastAsia="en-GB"/>
              </w:rPr>
              <w:t>5,080</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14:paraId="39485107" w14:textId="40E43A18" w:rsidR="005D1DE0" w:rsidRDefault="006D32D7">
            <w:pPr>
              <w:jc w:val="right"/>
              <w:rPr>
                <w:rFonts w:ascii="Calibri" w:eastAsia="Times New Roman" w:hAnsi="Calibri" w:cs="Calibri"/>
                <w:color w:val="000000"/>
                <w:lang w:eastAsia="en-GB"/>
              </w:rPr>
            </w:pPr>
            <w:r>
              <w:rPr>
                <w:rFonts w:ascii="Calibri" w:eastAsia="Times New Roman" w:hAnsi="Calibri" w:cs="Calibri"/>
                <w:color w:val="000000"/>
                <w:lang w:eastAsia="en-GB"/>
              </w:rPr>
              <w:t>1,800</w:t>
            </w:r>
          </w:p>
        </w:tc>
        <w:tc>
          <w:tcPr>
            <w:tcW w:w="1582" w:type="dxa"/>
            <w:tcBorders>
              <w:top w:val="single" w:sz="4" w:space="0" w:color="auto"/>
              <w:left w:val="single" w:sz="4" w:space="0" w:color="auto"/>
              <w:bottom w:val="single" w:sz="4" w:space="0" w:color="auto"/>
              <w:right w:val="single" w:sz="4" w:space="0" w:color="auto"/>
            </w:tcBorders>
            <w:shd w:val="clear" w:color="auto" w:fill="EEECE1" w:themeFill="background2"/>
          </w:tcPr>
          <w:p w14:paraId="487268D1" w14:textId="4EEDCD6A" w:rsidR="005D1DE0" w:rsidRDefault="00BA7438">
            <w:pPr>
              <w:jc w:val="right"/>
              <w:rPr>
                <w:rFonts w:ascii="Calibri" w:eastAsia="Times New Roman" w:hAnsi="Calibri" w:cs="Calibri"/>
                <w:color w:val="000000"/>
                <w:lang w:eastAsia="en-GB"/>
              </w:rPr>
            </w:pPr>
            <w:r>
              <w:rPr>
                <w:rFonts w:ascii="Calibri" w:eastAsia="Times New Roman" w:hAnsi="Calibri" w:cs="Calibri"/>
                <w:color w:val="000000"/>
                <w:lang w:eastAsia="en-GB"/>
              </w:rPr>
              <w:t>75,552</w:t>
            </w:r>
          </w:p>
        </w:tc>
        <w:tc>
          <w:tcPr>
            <w:tcW w:w="1275" w:type="dxa"/>
            <w:tcBorders>
              <w:top w:val="single" w:sz="4" w:space="0" w:color="auto"/>
              <w:left w:val="single" w:sz="4" w:space="0" w:color="auto"/>
              <w:bottom w:val="single" w:sz="4" w:space="0" w:color="auto"/>
              <w:right w:val="single" w:sz="4" w:space="0" w:color="auto"/>
            </w:tcBorders>
            <w:noWrap/>
            <w:vAlign w:val="bottom"/>
          </w:tcPr>
          <w:p w14:paraId="682BF8DC" w14:textId="5DA0DBB0" w:rsidR="005D1DE0" w:rsidRDefault="00CF0896" w:rsidP="00CF0896">
            <w:pPr>
              <w:spacing w:line="360" w:lineRule="auto"/>
              <w:rPr>
                <w:rFonts w:ascii="Calibri" w:eastAsia="Times New Roman" w:hAnsi="Calibri" w:cs="Calibri"/>
                <w:color w:val="000000"/>
                <w:lang w:eastAsia="en-GB"/>
              </w:rPr>
            </w:pPr>
            <w:r>
              <w:rPr>
                <w:rFonts w:ascii="Calibri" w:eastAsia="Times New Roman" w:hAnsi="Calibri" w:cs="Calibri"/>
                <w:color w:val="000000"/>
                <w:lang w:eastAsia="en-GB"/>
              </w:rPr>
              <w:t>87,332</w:t>
            </w:r>
          </w:p>
        </w:tc>
      </w:tr>
      <w:tr w:rsidR="005D1DE0" w14:paraId="25CCFF8A" w14:textId="77777777" w:rsidTr="005D1DE0">
        <w:trPr>
          <w:trHeight w:val="449"/>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113EC655" w14:textId="77777777" w:rsidR="005D1DE0" w:rsidRDefault="005D1DE0">
            <w:pPr>
              <w:rPr>
                <w:rFonts w:ascii="Calibri" w:eastAsia="Times New Roman" w:hAnsi="Calibri" w:cs="Calibri"/>
                <w:color w:val="000000"/>
                <w:lang w:eastAsia="en-GB"/>
              </w:rPr>
            </w:pPr>
            <w:r>
              <w:rPr>
                <w:rFonts w:ascii="Calibri" w:eastAsia="Times New Roman" w:hAnsi="Calibri" w:cs="Calibri"/>
                <w:color w:val="000000"/>
                <w:lang w:eastAsia="en-GB"/>
              </w:rPr>
              <w:t>Provider</w:t>
            </w:r>
          </w:p>
        </w:tc>
        <w:tc>
          <w:tcPr>
            <w:tcW w:w="2824" w:type="dxa"/>
            <w:tcBorders>
              <w:top w:val="single" w:sz="4" w:space="0" w:color="auto"/>
              <w:left w:val="single" w:sz="4" w:space="0" w:color="auto"/>
              <w:bottom w:val="single" w:sz="4" w:space="0" w:color="auto"/>
              <w:right w:val="single" w:sz="4" w:space="0" w:color="auto"/>
            </w:tcBorders>
            <w:noWrap/>
            <w:vAlign w:val="center"/>
            <w:hideMark/>
          </w:tcPr>
          <w:p w14:paraId="304B6C4B" w14:textId="77777777" w:rsidR="005D1DE0" w:rsidRDefault="005D1DE0">
            <w:pPr>
              <w:rPr>
                <w:rFonts w:ascii="Calibri" w:eastAsia="Times New Roman" w:hAnsi="Calibri" w:cs="Calibri"/>
                <w:color w:val="000000"/>
                <w:lang w:eastAsia="en-GB"/>
              </w:rPr>
            </w:pPr>
            <w:r>
              <w:rPr>
                <w:rFonts w:ascii="Calibri" w:eastAsia="Times New Roman" w:hAnsi="Calibri" w:cs="Calibri"/>
                <w:color w:val="000000"/>
                <w:lang w:eastAsia="en-GB"/>
              </w:rPr>
              <w:t>Other (technical accounting)</w:t>
            </w:r>
          </w:p>
        </w:tc>
        <w:tc>
          <w:tcPr>
            <w:tcW w:w="1569" w:type="dxa"/>
            <w:tcBorders>
              <w:top w:val="single" w:sz="4" w:space="0" w:color="auto"/>
              <w:left w:val="single" w:sz="4" w:space="0" w:color="auto"/>
              <w:bottom w:val="single" w:sz="4" w:space="0" w:color="auto"/>
              <w:right w:val="single" w:sz="4" w:space="0" w:color="auto"/>
            </w:tcBorders>
            <w:shd w:val="clear" w:color="auto" w:fill="EEECE1" w:themeFill="background2"/>
          </w:tcPr>
          <w:p w14:paraId="588642AD" w14:textId="77777777" w:rsidR="005D1DE0" w:rsidRDefault="005D1DE0">
            <w:pPr>
              <w:jc w:val="right"/>
              <w:rPr>
                <w:rFonts w:ascii="Calibri" w:eastAsia="Times New Roman" w:hAnsi="Calibri" w:cs="Calibri"/>
                <w:color w:val="000000"/>
                <w:lang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tcPr>
          <w:p w14:paraId="31B8C0FD" w14:textId="7E5D2276" w:rsidR="005D1DE0" w:rsidRDefault="005D1DE0">
            <w:pPr>
              <w:jc w:val="right"/>
              <w:rPr>
                <w:rFonts w:ascii="Calibri" w:eastAsia="Times New Roman" w:hAnsi="Calibri" w:cs="Calibri"/>
                <w:color w:val="00000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14:paraId="17D07118" w14:textId="634F903B" w:rsidR="005D1DE0" w:rsidRDefault="005D1DE0">
            <w:pPr>
              <w:jc w:val="right"/>
              <w:rPr>
                <w:rFonts w:ascii="Calibri" w:eastAsia="Times New Roman" w:hAnsi="Calibri" w:cs="Calibri"/>
                <w:color w:val="00000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328F6EA0" w14:textId="4BA06500" w:rsidR="005D1DE0" w:rsidRDefault="005D1DE0">
            <w:pPr>
              <w:jc w:val="right"/>
              <w:rPr>
                <w:rFonts w:ascii="Calibri" w:eastAsia="Times New Roman" w:hAnsi="Calibri" w:cs="Calibri"/>
                <w:color w:val="00000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14:paraId="4393BFD9" w14:textId="5306EC34" w:rsidR="005D1DE0" w:rsidRDefault="005D1DE0">
            <w:pPr>
              <w:jc w:val="right"/>
              <w:rPr>
                <w:rFonts w:ascii="Calibri" w:eastAsia="Times New Roman" w:hAnsi="Calibri" w:cs="Calibri"/>
                <w:color w:val="000000"/>
                <w:lang w:eastAsia="en-GB"/>
              </w:rPr>
            </w:pPr>
          </w:p>
        </w:tc>
        <w:tc>
          <w:tcPr>
            <w:tcW w:w="1582" w:type="dxa"/>
            <w:tcBorders>
              <w:top w:val="single" w:sz="4" w:space="0" w:color="auto"/>
              <w:left w:val="single" w:sz="4" w:space="0" w:color="auto"/>
              <w:bottom w:val="single" w:sz="4" w:space="0" w:color="auto"/>
              <w:right w:val="single" w:sz="4" w:space="0" w:color="auto"/>
            </w:tcBorders>
            <w:shd w:val="clear" w:color="auto" w:fill="EEECE1" w:themeFill="background2"/>
          </w:tcPr>
          <w:p w14:paraId="5C20A391" w14:textId="0C1D16F8" w:rsidR="005D1DE0" w:rsidRDefault="005D1DE0">
            <w:pPr>
              <w:jc w:val="right"/>
              <w:rPr>
                <w:rFonts w:ascii="Calibri" w:eastAsia="Times New Roman" w:hAnsi="Calibri" w:cs="Calibri"/>
                <w:color w:val="000000"/>
                <w:lang w:eastAsia="en-GB"/>
              </w:rPr>
            </w:pPr>
          </w:p>
        </w:tc>
        <w:tc>
          <w:tcPr>
            <w:tcW w:w="1275" w:type="dxa"/>
            <w:tcBorders>
              <w:top w:val="single" w:sz="4" w:space="0" w:color="auto"/>
              <w:left w:val="single" w:sz="4" w:space="0" w:color="auto"/>
              <w:bottom w:val="single" w:sz="4" w:space="0" w:color="auto"/>
              <w:right w:val="single" w:sz="4" w:space="0" w:color="auto"/>
            </w:tcBorders>
            <w:noWrap/>
            <w:vAlign w:val="bottom"/>
          </w:tcPr>
          <w:p w14:paraId="6B2FDA0C" w14:textId="7B33C518" w:rsidR="005D1DE0" w:rsidRDefault="005D1DE0" w:rsidP="005D1DE0">
            <w:pPr>
              <w:spacing w:line="360" w:lineRule="auto"/>
              <w:jc w:val="right"/>
              <w:rPr>
                <w:rFonts w:ascii="Calibri" w:eastAsia="Times New Roman" w:hAnsi="Calibri" w:cs="Calibri"/>
                <w:color w:val="000000"/>
                <w:lang w:eastAsia="en-GB"/>
              </w:rPr>
            </w:pPr>
          </w:p>
        </w:tc>
      </w:tr>
      <w:tr w:rsidR="005D1DE0" w14:paraId="7477AF49" w14:textId="77777777" w:rsidTr="005D1DE0">
        <w:trPr>
          <w:trHeight w:val="449"/>
        </w:trPr>
        <w:tc>
          <w:tcPr>
            <w:tcW w:w="113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4740A4E" w14:textId="77777777" w:rsidR="005D1DE0" w:rsidRDefault="005D1DE0">
            <w:pPr>
              <w:rPr>
                <w:rFonts w:ascii="Calibri" w:eastAsia="Times New Roman" w:hAnsi="Calibri" w:cs="Calibri"/>
                <w:color w:val="000000"/>
                <w:lang w:eastAsia="en-GB"/>
              </w:rPr>
            </w:pPr>
            <w:r>
              <w:rPr>
                <w:rFonts w:ascii="Calibri" w:eastAsia="Times New Roman" w:hAnsi="Calibri" w:cs="Calibri"/>
                <w:color w:val="000000"/>
                <w:lang w:eastAsia="en-GB"/>
              </w:rPr>
              <w:t> </w:t>
            </w:r>
          </w:p>
        </w:tc>
        <w:tc>
          <w:tcPr>
            <w:tcW w:w="2824" w:type="dxa"/>
            <w:tcBorders>
              <w:top w:val="single" w:sz="4" w:space="0" w:color="auto"/>
              <w:left w:val="single" w:sz="4" w:space="0" w:color="auto"/>
              <w:bottom w:val="single" w:sz="4" w:space="0" w:color="auto"/>
              <w:right w:val="single" w:sz="4" w:space="0" w:color="auto"/>
            </w:tcBorders>
            <w:noWrap/>
            <w:vAlign w:val="center"/>
            <w:hideMark/>
          </w:tcPr>
          <w:p w14:paraId="32BC1C84" w14:textId="77777777" w:rsidR="005D1DE0" w:rsidRDefault="005D1DE0">
            <w:pPr>
              <w:rPr>
                <w:rFonts w:ascii="Calibri" w:eastAsia="Times New Roman" w:hAnsi="Calibri" w:cs="Calibri"/>
                <w:color w:val="000000"/>
                <w:lang w:eastAsia="en-GB"/>
              </w:rPr>
            </w:pPr>
            <w:r>
              <w:rPr>
                <w:rFonts w:ascii="Calibri" w:eastAsia="Times New Roman" w:hAnsi="Calibri" w:cs="Calibri"/>
                <w:color w:val="000000"/>
                <w:lang w:eastAsia="en-GB"/>
              </w:rPr>
              <w:t>Total system CDEL</w:t>
            </w:r>
          </w:p>
        </w:tc>
        <w:tc>
          <w:tcPr>
            <w:tcW w:w="1569" w:type="dxa"/>
            <w:tcBorders>
              <w:top w:val="single" w:sz="4" w:space="0" w:color="auto"/>
              <w:left w:val="single" w:sz="4" w:space="0" w:color="auto"/>
              <w:bottom w:val="single" w:sz="4" w:space="0" w:color="auto"/>
              <w:right w:val="single" w:sz="4" w:space="0" w:color="auto"/>
            </w:tcBorders>
          </w:tcPr>
          <w:p w14:paraId="759EC70C" w14:textId="0929FB6D" w:rsidR="005D1DE0" w:rsidRDefault="00E02FC6">
            <w:pPr>
              <w:jc w:val="right"/>
              <w:rPr>
                <w:rFonts w:ascii="Calibri" w:eastAsia="Times New Roman" w:hAnsi="Calibri" w:cs="Calibri"/>
                <w:color w:val="000000"/>
                <w:lang w:eastAsia="en-GB"/>
              </w:rPr>
            </w:pPr>
            <w:r>
              <w:rPr>
                <w:rFonts w:ascii="Calibri" w:eastAsia="Times New Roman" w:hAnsi="Calibri" w:cs="Calibri"/>
                <w:color w:val="000000"/>
                <w:lang w:eastAsia="en-GB"/>
              </w:rPr>
              <w:t>1,800</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tcPr>
          <w:p w14:paraId="6747020E" w14:textId="237D6089" w:rsidR="005D1DE0" w:rsidRDefault="003E750C">
            <w:pPr>
              <w:jc w:val="right"/>
              <w:rPr>
                <w:rFonts w:ascii="Calibri" w:eastAsia="Times New Roman" w:hAnsi="Calibri" w:cs="Calibri"/>
                <w:color w:val="000000"/>
                <w:lang w:eastAsia="en-GB"/>
              </w:rPr>
            </w:pPr>
            <w:r>
              <w:rPr>
                <w:rFonts w:ascii="Calibri" w:eastAsia="Times New Roman" w:hAnsi="Calibri" w:cs="Calibri"/>
                <w:color w:val="000000"/>
                <w:lang w:eastAsia="en-GB"/>
              </w:rPr>
              <w:t>7,352</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14:paraId="2A26C61A" w14:textId="7EBE735A" w:rsidR="005D1DE0" w:rsidRDefault="003E750C">
            <w:pPr>
              <w:jc w:val="right"/>
              <w:rPr>
                <w:rFonts w:ascii="Calibri" w:eastAsia="Times New Roman" w:hAnsi="Calibri" w:cs="Calibri"/>
                <w:color w:val="000000"/>
                <w:lang w:eastAsia="en-GB"/>
              </w:rPr>
            </w:pPr>
            <w:r>
              <w:rPr>
                <w:rFonts w:ascii="Calibri" w:eastAsia="Times New Roman" w:hAnsi="Calibri" w:cs="Calibri"/>
                <w:color w:val="000000"/>
                <w:lang w:eastAsia="en-GB"/>
              </w:rPr>
              <w:t>18,965</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2C8AA651" w14:textId="0C7B2967" w:rsidR="005D1DE0" w:rsidRDefault="0006184A">
            <w:pPr>
              <w:jc w:val="right"/>
              <w:rPr>
                <w:rFonts w:ascii="Calibri" w:eastAsia="Times New Roman" w:hAnsi="Calibri" w:cs="Calibri"/>
                <w:color w:val="000000"/>
                <w:lang w:eastAsia="en-GB"/>
              </w:rPr>
            </w:pPr>
            <w:r>
              <w:rPr>
                <w:rFonts w:ascii="Calibri" w:eastAsia="Times New Roman" w:hAnsi="Calibri" w:cs="Calibri"/>
                <w:color w:val="000000"/>
                <w:lang w:eastAsia="en-GB"/>
              </w:rPr>
              <w:t>8,378</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14:paraId="5E1B4738" w14:textId="49B626CA" w:rsidR="005D1DE0" w:rsidRDefault="0006184A">
            <w:pPr>
              <w:jc w:val="right"/>
              <w:rPr>
                <w:rFonts w:ascii="Calibri" w:eastAsia="Times New Roman" w:hAnsi="Calibri" w:cs="Calibri"/>
                <w:color w:val="000000"/>
                <w:lang w:eastAsia="en-GB"/>
              </w:rPr>
            </w:pPr>
            <w:r>
              <w:rPr>
                <w:rFonts w:ascii="Calibri" w:eastAsia="Times New Roman" w:hAnsi="Calibri" w:cs="Calibri"/>
                <w:color w:val="000000"/>
                <w:lang w:eastAsia="en-GB"/>
              </w:rPr>
              <w:t>21,990</w:t>
            </w:r>
          </w:p>
        </w:tc>
        <w:tc>
          <w:tcPr>
            <w:tcW w:w="1582" w:type="dxa"/>
            <w:tcBorders>
              <w:top w:val="single" w:sz="4" w:space="0" w:color="auto"/>
              <w:left w:val="single" w:sz="4" w:space="0" w:color="auto"/>
              <w:bottom w:val="single" w:sz="4" w:space="0" w:color="auto"/>
              <w:right w:val="single" w:sz="4" w:space="0" w:color="auto"/>
            </w:tcBorders>
            <w:shd w:val="clear" w:color="auto" w:fill="EEECE1" w:themeFill="background2"/>
          </w:tcPr>
          <w:p w14:paraId="18B5832C" w14:textId="7E8FF85A" w:rsidR="005D1DE0" w:rsidRDefault="0006184A">
            <w:pPr>
              <w:jc w:val="right"/>
              <w:rPr>
                <w:rFonts w:ascii="Calibri" w:eastAsia="Times New Roman" w:hAnsi="Calibri" w:cs="Calibri"/>
                <w:color w:val="000000"/>
                <w:lang w:eastAsia="en-GB"/>
              </w:rPr>
            </w:pPr>
            <w:r>
              <w:rPr>
                <w:rFonts w:ascii="Calibri" w:eastAsia="Times New Roman" w:hAnsi="Calibri" w:cs="Calibri"/>
                <w:color w:val="000000"/>
                <w:lang w:eastAsia="en-GB"/>
              </w:rPr>
              <w:t>107,281</w:t>
            </w:r>
          </w:p>
        </w:tc>
        <w:tc>
          <w:tcPr>
            <w:tcW w:w="1275" w:type="dxa"/>
            <w:tcBorders>
              <w:top w:val="single" w:sz="4" w:space="0" w:color="auto"/>
              <w:left w:val="single" w:sz="4" w:space="0" w:color="auto"/>
              <w:bottom w:val="single" w:sz="4" w:space="0" w:color="auto"/>
              <w:right w:val="single" w:sz="4" w:space="0" w:color="auto"/>
            </w:tcBorders>
            <w:noWrap/>
            <w:vAlign w:val="bottom"/>
          </w:tcPr>
          <w:p w14:paraId="0675E8FC" w14:textId="67BA53DD" w:rsidR="005D1DE0" w:rsidRDefault="00482B24">
            <w:pPr>
              <w:spacing w:line="36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165,766</w:t>
            </w:r>
          </w:p>
        </w:tc>
      </w:tr>
    </w:tbl>
    <w:p w14:paraId="67049F4D" w14:textId="77777777" w:rsidR="007443C2" w:rsidRPr="00972E8A" w:rsidRDefault="007443C2" w:rsidP="00F8738F">
      <w:pPr>
        <w:rPr>
          <w:rFonts w:eastAsiaTheme="minorEastAsia"/>
          <w:b/>
          <w:bCs/>
          <w:color w:val="000000" w:themeColor="text1"/>
          <w:kern w:val="24"/>
          <w:szCs w:val="24"/>
          <w:lang w:val="en-US" w:eastAsia="en-GB"/>
        </w:rPr>
      </w:pPr>
    </w:p>
    <w:sectPr w:rsidR="007443C2" w:rsidRPr="00972E8A" w:rsidSect="00846321">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1440" w:bottom="1440"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C4FEB" w14:textId="77777777" w:rsidR="00241BED" w:rsidRDefault="00241BED" w:rsidP="00811A35">
      <w:pPr>
        <w:spacing w:after="0" w:line="240" w:lineRule="auto"/>
      </w:pPr>
      <w:r>
        <w:separator/>
      </w:r>
    </w:p>
  </w:endnote>
  <w:endnote w:type="continuationSeparator" w:id="0">
    <w:p w14:paraId="5C6A9587" w14:textId="77777777" w:rsidR="00241BED" w:rsidRDefault="00241BED" w:rsidP="00811A35">
      <w:pPr>
        <w:spacing w:after="0" w:line="240" w:lineRule="auto"/>
      </w:pPr>
      <w:r>
        <w:continuationSeparator/>
      </w:r>
    </w:p>
  </w:endnote>
  <w:endnote w:type="continuationNotice" w:id="1">
    <w:p w14:paraId="4CFA0CD2" w14:textId="77777777" w:rsidR="00241BED" w:rsidRDefault="00241B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8DA57" w14:textId="77777777" w:rsidR="00846321" w:rsidRDefault="00846321">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2545D" w14:textId="77777777" w:rsidR="00D46663" w:rsidRDefault="00D466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847445"/>
      <w:docPartObj>
        <w:docPartGallery w:val="Page Numbers (Bottom of Page)"/>
        <w:docPartUnique/>
      </w:docPartObj>
    </w:sdtPr>
    <w:sdtEndPr>
      <w:rPr>
        <w:noProof/>
      </w:rPr>
    </w:sdtEndPr>
    <w:sdtContent>
      <w:p w14:paraId="02175705" w14:textId="77777777" w:rsidR="00CA5ED8" w:rsidRDefault="00CA5ED8">
        <w:pPr>
          <w:pStyle w:val="Footer"/>
          <w:jc w:val="right"/>
        </w:pPr>
        <w:r>
          <w:fldChar w:fldCharType="begin"/>
        </w:r>
        <w:r>
          <w:instrText xml:space="preserve"> PAGE   \* MERGEFORMAT </w:instrText>
        </w:r>
        <w:r>
          <w:fldChar w:fldCharType="separate"/>
        </w:r>
        <w:r w:rsidR="00DE0E3C">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FE888" w14:textId="20A19245" w:rsidR="00D46663" w:rsidRPr="005209E2" w:rsidRDefault="00D46663" w:rsidP="00D46663">
    <w:pPr>
      <w:pStyle w:val="Footer"/>
      <w:rPr>
        <w:sz w:val="16"/>
        <w:szCs w:val="16"/>
      </w:rPr>
    </w:pPr>
    <w:r>
      <w:tab/>
    </w:r>
  </w:p>
  <w:p w14:paraId="28888C50" w14:textId="77777777" w:rsidR="00D46663" w:rsidRDefault="00D46663" w:rsidP="00D46663">
    <w:pPr>
      <w:pStyle w:val="Footer"/>
      <w:tabs>
        <w:tab w:val="clear" w:pos="4513"/>
        <w:tab w:val="clear" w:pos="9026"/>
        <w:tab w:val="left" w:pos="40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61888" w14:textId="77777777" w:rsidR="00241BED" w:rsidRDefault="00241BED" w:rsidP="00811A35">
      <w:pPr>
        <w:spacing w:after="0" w:line="240" w:lineRule="auto"/>
      </w:pPr>
      <w:r>
        <w:separator/>
      </w:r>
    </w:p>
  </w:footnote>
  <w:footnote w:type="continuationSeparator" w:id="0">
    <w:p w14:paraId="70E0885B" w14:textId="77777777" w:rsidR="00241BED" w:rsidRDefault="00241BED" w:rsidP="00811A35">
      <w:pPr>
        <w:spacing w:after="0" w:line="240" w:lineRule="auto"/>
      </w:pPr>
      <w:r>
        <w:continuationSeparator/>
      </w:r>
    </w:p>
  </w:footnote>
  <w:footnote w:type="continuationNotice" w:id="1">
    <w:p w14:paraId="40CC0793" w14:textId="77777777" w:rsidR="00241BED" w:rsidRDefault="00241B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88EB" w14:textId="77777777" w:rsidR="00846321" w:rsidRDefault="00846321">
    <w:pPr>
      <w:pStyle w:val="BodyText"/>
      <w:spacing w:line="14" w:lineRule="auto"/>
      <w:rPr>
        <w:sz w:val="20"/>
      </w:rPr>
    </w:pPr>
    <w:r w:rsidRPr="008F5763">
      <w:rPr>
        <w:b/>
        <w:bCs/>
        <w:noProof/>
        <w:color w:val="244061" w:themeColor="accent1" w:themeShade="80"/>
        <w:sz w:val="44"/>
        <w:szCs w:val="44"/>
        <w:lang w:eastAsia="en-GB"/>
      </w:rPr>
      <w:drawing>
        <wp:anchor distT="0" distB="0" distL="114300" distR="114300" simplePos="0" relativeHeight="251659264" behindDoc="0" locked="0" layoutInCell="1" allowOverlap="1" wp14:anchorId="7C50FE33" wp14:editId="4A34D214">
          <wp:simplePos x="0" y="0"/>
          <wp:positionH relativeFrom="page">
            <wp:posOffset>584200</wp:posOffset>
          </wp:positionH>
          <wp:positionV relativeFrom="page">
            <wp:posOffset>360045</wp:posOffset>
          </wp:positionV>
          <wp:extent cx="1413228" cy="57415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13228" cy="574158"/>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479FC" w14:textId="77777777" w:rsidR="00D46663" w:rsidRDefault="00D466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3CB5" w14:textId="77777777" w:rsidR="00811A35" w:rsidRPr="006E3B6E" w:rsidRDefault="00811A35" w:rsidP="006E3B6E">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B5E1" w14:textId="1842BD0E" w:rsidR="006E3B6E" w:rsidRPr="00AD3DC7" w:rsidRDefault="006E3B6E" w:rsidP="00AD3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0733"/>
    <w:multiLevelType w:val="multilevel"/>
    <w:tmpl w:val="65F4DAFA"/>
    <w:lvl w:ilvl="0">
      <w:start w:val="1"/>
      <w:numFmt w:val="bullet"/>
      <w:lvlText w:val=""/>
      <w:lvlJc w:val="left"/>
      <w:pPr>
        <w:tabs>
          <w:tab w:val="num" w:pos="709"/>
        </w:tabs>
        <w:ind w:left="993" w:hanging="284"/>
      </w:pPr>
      <w:rPr>
        <w:rFonts w:ascii="Symbol" w:hAnsi="Symbol" w:hint="default"/>
        <w:color w:val="005EB8"/>
      </w:rPr>
    </w:lvl>
    <w:lvl w:ilvl="1">
      <w:start w:val="1"/>
      <w:numFmt w:val="bullet"/>
      <w:lvlText w:val="‒"/>
      <w:lvlJc w:val="left"/>
      <w:pPr>
        <w:tabs>
          <w:tab w:val="num" w:pos="1276"/>
        </w:tabs>
        <w:ind w:left="1276" w:hanging="283"/>
      </w:pPr>
      <w:rPr>
        <w:rFonts w:ascii="Arial" w:hAnsi="Arial" w:cs="Times New Roman" w:hint="default"/>
        <w:color w:val="005EB8"/>
      </w:rPr>
    </w:lvl>
    <w:lvl w:ilvl="2">
      <w:start w:val="1"/>
      <w:numFmt w:val="bullet"/>
      <w:lvlText w:val=""/>
      <w:lvlJc w:val="left"/>
      <w:pPr>
        <w:tabs>
          <w:tab w:val="num" w:pos="1214"/>
        </w:tabs>
        <w:ind w:left="1185" w:hanging="329"/>
      </w:pPr>
      <w:rPr>
        <w:rFonts w:ascii="Symbol" w:hAnsi="Symbol" w:hint="default"/>
        <w:color w:val="auto"/>
      </w:rPr>
    </w:lvl>
    <w:lvl w:ilvl="3">
      <w:start w:val="1"/>
      <w:numFmt w:val="bullet"/>
      <w:lvlText w:val=""/>
      <w:lvlJc w:val="left"/>
      <w:pPr>
        <w:tabs>
          <w:tab w:val="num" w:pos="1571"/>
        </w:tabs>
        <w:ind w:left="1571" w:hanging="357"/>
      </w:pPr>
      <w:rPr>
        <w:rFonts w:ascii="Symbol" w:hAnsi="Symbol" w:hint="default"/>
        <w:color w:val="auto"/>
      </w:rPr>
    </w:lvl>
    <w:lvl w:ilvl="4">
      <w:start w:val="1"/>
      <w:numFmt w:val="bullet"/>
      <w:lvlText w:val=""/>
      <w:lvlJc w:val="left"/>
      <w:pPr>
        <w:tabs>
          <w:tab w:val="num" w:pos="1928"/>
        </w:tabs>
        <w:ind w:left="1928" w:hanging="357"/>
      </w:pPr>
      <w:rPr>
        <w:rFonts w:ascii="Symbol" w:hAnsi="Symbol" w:hint="default"/>
        <w:color w:val="auto"/>
      </w:r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 w15:restartNumberingAfterBreak="0">
    <w:nsid w:val="0DE65929"/>
    <w:multiLevelType w:val="hybridMultilevel"/>
    <w:tmpl w:val="9314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82E06"/>
    <w:multiLevelType w:val="multilevel"/>
    <w:tmpl w:val="3D08CF68"/>
    <w:name w:val="nhs_bullets"/>
    <w:styleLink w:val="NHSBullets"/>
    <w:lvl w:ilvl="0">
      <w:start w:val="1"/>
      <w:numFmt w:val="bullet"/>
      <w:pStyle w:val="ListBullet"/>
      <w:lvlText w:val=""/>
      <w:lvlJc w:val="left"/>
      <w:pPr>
        <w:tabs>
          <w:tab w:val="num" w:pos="2149"/>
        </w:tabs>
        <w:ind w:left="2433" w:hanging="284"/>
      </w:pPr>
      <w:rPr>
        <w:rFonts w:ascii="Symbol" w:hAnsi="Symbol" w:hint="default"/>
        <w:color w:val="005EB8"/>
      </w:rPr>
    </w:lvl>
    <w:lvl w:ilvl="1">
      <w:start w:val="1"/>
      <w:numFmt w:val="bullet"/>
      <w:pStyle w:val="ListBullet2"/>
      <w:lvlText w:val="‒"/>
      <w:lvlJc w:val="left"/>
      <w:pPr>
        <w:tabs>
          <w:tab w:val="num" w:pos="2716"/>
        </w:tabs>
        <w:ind w:left="2716" w:hanging="283"/>
      </w:pPr>
      <w:rPr>
        <w:rFonts w:ascii="Arial" w:hAnsi="Arial" w:cs="Times New Roman" w:hint="default"/>
        <w:color w:val="005EB8"/>
      </w:rPr>
    </w:lvl>
    <w:lvl w:ilvl="2">
      <w:start w:val="1"/>
      <w:numFmt w:val="bullet"/>
      <w:pStyle w:val="ListBullet3"/>
      <w:lvlText w:val=""/>
      <w:lvlJc w:val="left"/>
      <w:pPr>
        <w:tabs>
          <w:tab w:val="num" w:pos="2654"/>
        </w:tabs>
        <w:ind w:left="2625" w:hanging="329"/>
      </w:pPr>
      <w:rPr>
        <w:rFonts w:ascii="Symbol" w:hAnsi="Symbol" w:hint="default"/>
        <w:color w:val="auto"/>
      </w:rPr>
    </w:lvl>
    <w:lvl w:ilvl="3">
      <w:start w:val="1"/>
      <w:numFmt w:val="bullet"/>
      <w:pStyle w:val="ListBullet4"/>
      <w:lvlText w:val=""/>
      <w:lvlJc w:val="left"/>
      <w:pPr>
        <w:tabs>
          <w:tab w:val="num" w:pos="3011"/>
        </w:tabs>
        <w:ind w:left="3011" w:hanging="357"/>
      </w:pPr>
      <w:rPr>
        <w:rFonts w:ascii="Symbol" w:hAnsi="Symbol" w:hint="default"/>
        <w:color w:val="auto"/>
      </w:rPr>
    </w:lvl>
    <w:lvl w:ilvl="4">
      <w:start w:val="1"/>
      <w:numFmt w:val="bullet"/>
      <w:pStyle w:val="ListBullet5"/>
      <w:lvlText w:val=""/>
      <w:lvlJc w:val="left"/>
      <w:pPr>
        <w:tabs>
          <w:tab w:val="num" w:pos="3368"/>
        </w:tabs>
        <w:ind w:left="3368" w:hanging="357"/>
      </w:pPr>
      <w:rPr>
        <w:rFonts w:ascii="Symbol" w:hAnsi="Symbol" w:hint="default"/>
        <w:color w:val="auto"/>
      </w:rPr>
    </w:lvl>
    <w:lvl w:ilvl="5">
      <w:start w:val="1"/>
      <w:numFmt w:val="lowerRoman"/>
      <w:lvlText w:val="%6."/>
      <w:lvlJc w:val="right"/>
      <w:pPr>
        <w:ind w:left="5902" w:hanging="180"/>
      </w:pPr>
    </w:lvl>
    <w:lvl w:ilvl="6">
      <w:start w:val="1"/>
      <w:numFmt w:val="decimal"/>
      <w:lvlText w:val="%7."/>
      <w:lvlJc w:val="left"/>
      <w:pPr>
        <w:ind w:left="6622" w:hanging="360"/>
      </w:pPr>
    </w:lvl>
    <w:lvl w:ilvl="7">
      <w:start w:val="1"/>
      <w:numFmt w:val="lowerLetter"/>
      <w:lvlText w:val="%8."/>
      <w:lvlJc w:val="left"/>
      <w:pPr>
        <w:ind w:left="7342" w:hanging="360"/>
      </w:pPr>
    </w:lvl>
    <w:lvl w:ilvl="8">
      <w:start w:val="1"/>
      <w:numFmt w:val="lowerRoman"/>
      <w:lvlText w:val="%9."/>
      <w:lvlJc w:val="right"/>
      <w:pPr>
        <w:ind w:left="8062" w:hanging="180"/>
      </w:pPr>
    </w:lvl>
  </w:abstractNum>
  <w:abstractNum w:abstractNumId="3" w15:restartNumberingAfterBreak="0">
    <w:nsid w:val="26622B84"/>
    <w:multiLevelType w:val="hybridMultilevel"/>
    <w:tmpl w:val="57E8C080"/>
    <w:lvl w:ilvl="0" w:tplc="78749688">
      <w:numFmt w:val="bullet"/>
      <w:pStyle w:val="Bulletlis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89434D"/>
    <w:multiLevelType w:val="hybridMultilevel"/>
    <w:tmpl w:val="8AE26496"/>
    <w:lvl w:ilvl="0" w:tplc="08090001">
      <w:start w:val="1"/>
      <w:numFmt w:val="bullet"/>
      <w:lvlText w:val=""/>
      <w:lvlJc w:val="left"/>
      <w:pPr>
        <w:ind w:left="827" w:hanging="360"/>
      </w:pPr>
      <w:rPr>
        <w:rFonts w:ascii="Symbol" w:hAnsi="Symbol" w:hint="default"/>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5" w15:restartNumberingAfterBreak="0">
    <w:nsid w:val="4EEE43E9"/>
    <w:multiLevelType w:val="hybridMultilevel"/>
    <w:tmpl w:val="77E6466A"/>
    <w:lvl w:ilvl="0" w:tplc="0B7018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6F1E0D"/>
    <w:multiLevelType w:val="hybridMultilevel"/>
    <w:tmpl w:val="1474F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432B0D"/>
    <w:multiLevelType w:val="multilevel"/>
    <w:tmpl w:val="FD007232"/>
    <w:lvl w:ilvl="0">
      <w:start w:val="1"/>
      <w:numFmt w:val="decimal"/>
      <w:lvlText w:val="%1.0"/>
      <w:lvlJc w:val="left"/>
      <w:pPr>
        <w:ind w:left="360" w:hanging="360"/>
      </w:pPr>
      <w:rPr>
        <w:color w:val="FFFFFF" w:themeColor="background1"/>
      </w:rPr>
    </w:lvl>
    <w:lvl w:ilvl="1">
      <w:start w:val="1"/>
      <w:numFmt w:val="decimal"/>
      <w:isLgl/>
      <w:lvlText w:val="%1.%2"/>
      <w:lvlJc w:val="left"/>
      <w:pPr>
        <w:ind w:left="3621" w:hanging="360"/>
      </w:pPr>
      <w:rPr>
        <w:b w:val="0"/>
      </w:rPr>
    </w:lvl>
    <w:lvl w:ilvl="2">
      <w:start w:val="1"/>
      <w:numFmt w:val="bullet"/>
      <w:lvlText w:val=""/>
      <w:lvlJc w:val="left"/>
      <w:pPr>
        <w:ind w:left="720" w:hanging="720"/>
      </w:pPr>
      <w:rPr>
        <w:rFonts w:ascii="Wingdings" w:hAnsi="Wingdings" w:hint="default"/>
      </w:rPr>
    </w:lvl>
    <w:lvl w:ilvl="3">
      <w:start w:val="1"/>
      <w:numFmt w:val="decimal"/>
      <w:lvlText w:val="%4."/>
      <w:lvlJc w:val="left"/>
      <w:pPr>
        <w:ind w:left="1571"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140"/>
      <w:numFmt w:val="bullet"/>
      <w:lvlText w:val="–"/>
      <w:lvlJc w:val="left"/>
      <w:pPr>
        <w:ind w:left="1440" w:hanging="1440"/>
      </w:pPr>
      <w:rPr>
        <w:rFonts w:ascii="Arial" w:hAnsi="Arial" w:cs="Times New Roman" w:hint="default"/>
      </w:rPr>
    </w:lvl>
    <w:lvl w:ilvl="7">
      <w:start w:val="1"/>
      <w:numFmt w:val="bullet"/>
      <w:lvlText w:val=""/>
      <w:lvlJc w:val="left"/>
      <w:pPr>
        <w:ind w:left="1800" w:hanging="1800"/>
      </w:pPr>
      <w:rPr>
        <w:rFonts w:ascii="Symbol" w:hAnsi="Symbol" w:hint="default"/>
      </w:rPr>
    </w:lvl>
    <w:lvl w:ilvl="8">
      <w:start w:val="1"/>
      <w:numFmt w:val="decimal"/>
      <w:isLgl/>
      <w:lvlText w:val="%1.%2.%3.%4.%5.%6.%7.%8.%9"/>
      <w:lvlJc w:val="left"/>
      <w:pPr>
        <w:ind w:left="1800" w:hanging="1800"/>
      </w:pPr>
    </w:lvl>
  </w:abstractNum>
  <w:abstractNum w:abstractNumId="8" w15:restartNumberingAfterBreak="0">
    <w:nsid w:val="5E454E2E"/>
    <w:multiLevelType w:val="hybridMultilevel"/>
    <w:tmpl w:val="C452FD86"/>
    <w:lvl w:ilvl="0" w:tplc="3C0CF7A2">
      <w:numFmt w:val="bullet"/>
      <w:lvlText w:val="-"/>
      <w:lvlJc w:val="left"/>
      <w:pPr>
        <w:ind w:left="587" w:hanging="360"/>
      </w:pPr>
      <w:rPr>
        <w:rFonts w:ascii="Arial" w:eastAsia="Arial" w:hAnsi="Arial" w:cs="Aria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9" w15:restartNumberingAfterBreak="0">
    <w:nsid w:val="60776FD1"/>
    <w:multiLevelType w:val="hybridMultilevel"/>
    <w:tmpl w:val="3A7C02AE"/>
    <w:lvl w:ilvl="0" w:tplc="26B0B18E">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EA73D4"/>
    <w:multiLevelType w:val="multilevel"/>
    <w:tmpl w:val="3DAEB6DC"/>
    <w:lvl w:ilvl="0">
      <w:start w:val="2"/>
      <w:numFmt w:val="decimal"/>
      <w:lvlText w:val="%1."/>
      <w:lvlJc w:val="left"/>
      <w:pPr>
        <w:tabs>
          <w:tab w:val="num" w:pos="720"/>
        </w:tabs>
        <w:ind w:left="720" w:hanging="360"/>
      </w:pPr>
      <w:rPr>
        <w:b/>
        <w:bCs/>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3A976FB"/>
    <w:multiLevelType w:val="hybridMultilevel"/>
    <w:tmpl w:val="13C26BD2"/>
    <w:lvl w:ilvl="0" w:tplc="7DE8D326">
      <w:start w:val="1"/>
      <w:numFmt w:val="decimal"/>
      <w:lvlText w:val="%1."/>
      <w:lvlJc w:val="left"/>
      <w:pPr>
        <w:ind w:left="930" w:hanging="570"/>
      </w:pPr>
      <w:rPr>
        <w:rFonts w:eastAsiaTheme="minorEastAsia"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3534414">
    <w:abstractNumId w:val="3"/>
  </w:num>
  <w:num w:numId="2" w16cid:durableId="136848785">
    <w:abstractNumId w:val="9"/>
  </w:num>
  <w:num w:numId="3" w16cid:durableId="1519078165">
    <w:abstractNumId w:val="10"/>
  </w:num>
  <w:num w:numId="4" w16cid:durableId="99570218">
    <w:abstractNumId w:val="11"/>
  </w:num>
  <w:num w:numId="5" w16cid:durableId="95368259">
    <w:abstractNumId w:val="2"/>
  </w:num>
  <w:num w:numId="6" w16cid:durableId="486358998">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lvlOverride w:ilvl="7"/>
    <w:lvlOverride w:ilvl="8">
      <w:startOverride w:val="1"/>
    </w:lvlOverride>
  </w:num>
  <w:num w:numId="7" w16cid:durableId="610748721">
    <w:abstractNumId w:val="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 w16cid:durableId="1272859909">
    <w:abstractNumId w:val="1"/>
  </w:num>
  <w:num w:numId="9" w16cid:durableId="249892321">
    <w:abstractNumId w:val="4"/>
  </w:num>
  <w:num w:numId="10" w16cid:durableId="564729632">
    <w:abstractNumId w:val="6"/>
  </w:num>
  <w:num w:numId="11" w16cid:durableId="292254490">
    <w:abstractNumId w:val="5"/>
  </w:num>
  <w:num w:numId="12" w16cid:durableId="1644431644">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A4E"/>
    <w:rsid w:val="00000464"/>
    <w:rsid w:val="00014395"/>
    <w:rsid w:val="00014B59"/>
    <w:rsid w:val="000229A7"/>
    <w:rsid w:val="000231D4"/>
    <w:rsid w:val="000538EC"/>
    <w:rsid w:val="0006009D"/>
    <w:rsid w:val="0006184A"/>
    <w:rsid w:val="0006524E"/>
    <w:rsid w:val="000707E9"/>
    <w:rsid w:val="00084A44"/>
    <w:rsid w:val="00095BC4"/>
    <w:rsid w:val="000A5B9C"/>
    <w:rsid w:val="000B3E51"/>
    <w:rsid w:val="000B6F1C"/>
    <w:rsid w:val="000D27B2"/>
    <w:rsid w:val="000D48D2"/>
    <w:rsid w:val="000D6B3E"/>
    <w:rsid w:val="000E6994"/>
    <w:rsid w:val="000F6A59"/>
    <w:rsid w:val="0010157C"/>
    <w:rsid w:val="00101DA7"/>
    <w:rsid w:val="00103ACB"/>
    <w:rsid w:val="00113FCF"/>
    <w:rsid w:val="001165F4"/>
    <w:rsid w:val="00123E3A"/>
    <w:rsid w:val="001249CD"/>
    <w:rsid w:val="0013788E"/>
    <w:rsid w:val="001461DC"/>
    <w:rsid w:val="001467DD"/>
    <w:rsid w:val="00151AFA"/>
    <w:rsid w:val="00165A1A"/>
    <w:rsid w:val="00175074"/>
    <w:rsid w:val="001756FC"/>
    <w:rsid w:val="0017607E"/>
    <w:rsid w:val="001762E0"/>
    <w:rsid w:val="00186477"/>
    <w:rsid w:val="00194756"/>
    <w:rsid w:val="001B7016"/>
    <w:rsid w:val="001C595C"/>
    <w:rsid w:val="001D0DF6"/>
    <w:rsid w:val="001F3F3D"/>
    <w:rsid w:val="00216AD6"/>
    <w:rsid w:val="00241BED"/>
    <w:rsid w:val="00260A4E"/>
    <w:rsid w:val="00266DD3"/>
    <w:rsid w:val="0027309C"/>
    <w:rsid w:val="0027745E"/>
    <w:rsid w:val="00281098"/>
    <w:rsid w:val="002962B0"/>
    <w:rsid w:val="002B6BA0"/>
    <w:rsid w:val="002C089D"/>
    <w:rsid w:val="002D176C"/>
    <w:rsid w:val="002D7D81"/>
    <w:rsid w:val="002E5D2E"/>
    <w:rsid w:val="002E6B10"/>
    <w:rsid w:val="002F705E"/>
    <w:rsid w:val="00330762"/>
    <w:rsid w:val="00351EAF"/>
    <w:rsid w:val="00353A86"/>
    <w:rsid w:val="00360A41"/>
    <w:rsid w:val="003630A4"/>
    <w:rsid w:val="003712FD"/>
    <w:rsid w:val="00374AE6"/>
    <w:rsid w:val="00382511"/>
    <w:rsid w:val="003839D2"/>
    <w:rsid w:val="003915A4"/>
    <w:rsid w:val="003A7527"/>
    <w:rsid w:val="003B6A24"/>
    <w:rsid w:val="003C10E2"/>
    <w:rsid w:val="003D6884"/>
    <w:rsid w:val="003E32A4"/>
    <w:rsid w:val="003E750C"/>
    <w:rsid w:val="003E7E09"/>
    <w:rsid w:val="003F4DD0"/>
    <w:rsid w:val="004025BF"/>
    <w:rsid w:val="00414942"/>
    <w:rsid w:val="00422A68"/>
    <w:rsid w:val="00435738"/>
    <w:rsid w:val="00441890"/>
    <w:rsid w:val="00447390"/>
    <w:rsid w:val="00451C1C"/>
    <w:rsid w:val="00462789"/>
    <w:rsid w:val="00471A45"/>
    <w:rsid w:val="00473C66"/>
    <w:rsid w:val="00482B24"/>
    <w:rsid w:val="0048413F"/>
    <w:rsid w:val="00484880"/>
    <w:rsid w:val="00494F0C"/>
    <w:rsid w:val="004E4428"/>
    <w:rsid w:val="004F7FB3"/>
    <w:rsid w:val="0050054B"/>
    <w:rsid w:val="00503B4E"/>
    <w:rsid w:val="00511208"/>
    <w:rsid w:val="00512C0E"/>
    <w:rsid w:val="005209E2"/>
    <w:rsid w:val="00523A5E"/>
    <w:rsid w:val="00525B4A"/>
    <w:rsid w:val="00530BB1"/>
    <w:rsid w:val="00533AB0"/>
    <w:rsid w:val="00537BA4"/>
    <w:rsid w:val="00562756"/>
    <w:rsid w:val="0056654E"/>
    <w:rsid w:val="00580CD3"/>
    <w:rsid w:val="00587EAC"/>
    <w:rsid w:val="005B693D"/>
    <w:rsid w:val="005D1DE0"/>
    <w:rsid w:val="005D36CB"/>
    <w:rsid w:val="005D44F0"/>
    <w:rsid w:val="005D5E3E"/>
    <w:rsid w:val="005E48D5"/>
    <w:rsid w:val="005E4A15"/>
    <w:rsid w:val="005F0268"/>
    <w:rsid w:val="005F6E40"/>
    <w:rsid w:val="00607795"/>
    <w:rsid w:val="006245AB"/>
    <w:rsid w:val="00636A4C"/>
    <w:rsid w:val="00641141"/>
    <w:rsid w:val="00641C2B"/>
    <w:rsid w:val="006472C5"/>
    <w:rsid w:val="006474AB"/>
    <w:rsid w:val="006672CC"/>
    <w:rsid w:val="00684AF7"/>
    <w:rsid w:val="006B4B7D"/>
    <w:rsid w:val="006B5728"/>
    <w:rsid w:val="006B6A9E"/>
    <w:rsid w:val="006B7A24"/>
    <w:rsid w:val="006C224D"/>
    <w:rsid w:val="006C2DA7"/>
    <w:rsid w:val="006D0126"/>
    <w:rsid w:val="006D0CEA"/>
    <w:rsid w:val="006D32D7"/>
    <w:rsid w:val="006D6E0C"/>
    <w:rsid w:val="006E3B6E"/>
    <w:rsid w:val="006F167D"/>
    <w:rsid w:val="006F4EEF"/>
    <w:rsid w:val="00700D5F"/>
    <w:rsid w:val="00713AA8"/>
    <w:rsid w:val="007443C2"/>
    <w:rsid w:val="00746B66"/>
    <w:rsid w:val="00752A83"/>
    <w:rsid w:val="00755565"/>
    <w:rsid w:val="007706DE"/>
    <w:rsid w:val="00776B44"/>
    <w:rsid w:val="007802C6"/>
    <w:rsid w:val="00787F16"/>
    <w:rsid w:val="00790557"/>
    <w:rsid w:val="0079562C"/>
    <w:rsid w:val="007A17AF"/>
    <w:rsid w:val="007A42FD"/>
    <w:rsid w:val="007B34ED"/>
    <w:rsid w:val="007D6C00"/>
    <w:rsid w:val="007D6F72"/>
    <w:rsid w:val="007E0993"/>
    <w:rsid w:val="007E0D99"/>
    <w:rsid w:val="007E7261"/>
    <w:rsid w:val="007F4869"/>
    <w:rsid w:val="007F6BAC"/>
    <w:rsid w:val="007F76C3"/>
    <w:rsid w:val="00804546"/>
    <w:rsid w:val="00811A35"/>
    <w:rsid w:val="00822BEB"/>
    <w:rsid w:val="00830809"/>
    <w:rsid w:val="008348CE"/>
    <w:rsid w:val="00846321"/>
    <w:rsid w:val="00851443"/>
    <w:rsid w:val="00857EEB"/>
    <w:rsid w:val="008628EA"/>
    <w:rsid w:val="008B0601"/>
    <w:rsid w:val="008B2514"/>
    <w:rsid w:val="008B28AD"/>
    <w:rsid w:val="008B358A"/>
    <w:rsid w:val="008B378B"/>
    <w:rsid w:val="008C27DA"/>
    <w:rsid w:val="008D1E30"/>
    <w:rsid w:val="008D69AF"/>
    <w:rsid w:val="008E1E7C"/>
    <w:rsid w:val="008F0C43"/>
    <w:rsid w:val="00904F72"/>
    <w:rsid w:val="009137C2"/>
    <w:rsid w:val="0091476F"/>
    <w:rsid w:val="009156BC"/>
    <w:rsid w:val="009420DB"/>
    <w:rsid w:val="0094533B"/>
    <w:rsid w:val="00955869"/>
    <w:rsid w:val="00963334"/>
    <w:rsid w:val="0097240F"/>
    <w:rsid w:val="00972E8A"/>
    <w:rsid w:val="00987719"/>
    <w:rsid w:val="00993EE1"/>
    <w:rsid w:val="0099743D"/>
    <w:rsid w:val="009A2860"/>
    <w:rsid w:val="009B2FD6"/>
    <w:rsid w:val="009B5C4C"/>
    <w:rsid w:val="009C0B4C"/>
    <w:rsid w:val="009C4166"/>
    <w:rsid w:val="009C5E2E"/>
    <w:rsid w:val="009D1E81"/>
    <w:rsid w:val="009D5B49"/>
    <w:rsid w:val="009E76A6"/>
    <w:rsid w:val="009F1551"/>
    <w:rsid w:val="009F456D"/>
    <w:rsid w:val="00A00D89"/>
    <w:rsid w:val="00A2047F"/>
    <w:rsid w:val="00A20A31"/>
    <w:rsid w:val="00A2274B"/>
    <w:rsid w:val="00A2589C"/>
    <w:rsid w:val="00A3127A"/>
    <w:rsid w:val="00A336C0"/>
    <w:rsid w:val="00A37EB3"/>
    <w:rsid w:val="00A42A00"/>
    <w:rsid w:val="00A542E2"/>
    <w:rsid w:val="00A65B0A"/>
    <w:rsid w:val="00A67377"/>
    <w:rsid w:val="00A8443B"/>
    <w:rsid w:val="00A85699"/>
    <w:rsid w:val="00AA7A18"/>
    <w:rsid w:val="00AB4945"/>
    <w:rsid w:val="00AD3DC7"/>
    <w:rsid w:val="00AE457D"/>
    <w:rsid w:val="00B1310B"/>
    <w:rsid w:val="00B24A58"/>
    <w:rsid w:val="00B25A80"/>
    <w:rsid w:val="00B342CB"/>
    <w:rsid w:val="00B40390"/>
    <w:rsid w:val="00B47264"/>
    <w:rsid w:val="00B7495C"/>
    <w:rsid w:val="00B8004A"/>
    <w:rsid w:val="00B8212B"/>
    <w:rsid w:val="00BA7438"/>
    <w:rsid w:val="00BC4BE1"/>
    <w:rsid w:val="00BE03A2"/>
    <w:rsid w:val="00BE342D"/>
    <w:rsid w:val="00BF1613"/>
    <w:rsid w:val="00C039D9"/>
    <w:rsid w:val="00C12D1D"/>
    <w:rsid w:val="00C15048"/>
    <w:rsid w:val="00C23962"/>
    <w:rsid w:val="00C35177"/>
    <w:rsid w:val="00C40802"/>
    <w:rsid w:val="00C557C2"/>
    <w:rsid w:val="00C60B03"/>
    <w:rsid w:val="00C97B0B"/>
    <w:rsid w:val="00CA3231"/>
    <w:rsid w:val="00CA5ED8"/>
    <w:rsid w:val="00CB1DC2"/>
    <w:rsid w:val="00CB41DB"/>
    <w:rsid w:val="00CC4A4D"/>
    <w:rsid w:val="00CD7055"/>
    <w:rsid w:val="00CE3877"/>
    <w:rsid w:val="00CE4716"/>
    <w:rsid w:val="00CF0896"/>
    <w:rsid w:val="00CF111C"/>
    <w:rsid w:val="00CF45B2"/>
    <w:rsid w:val="00D04B40"/>
    <w:rsid w:val="00D117A8"/>
    <w:rsid w:val="00D2089F"/>
    <w:rsid w:val="00D26991"/>
    <w:rsid w:val="00D27A4F"/>
    <w:rsid w:val="00D43EF1"/>
    <w:rsid w:val="00D46663"/>
    <w:rsid w:val="00D515AC"/>
    <w:rsid w:val="00D52D38"/>
    <w:rsid w:val="00D5667C"/>
    <w:rsid w:val="00D709B2"/>
    <w:rsid w:val="00D73327"/>
    <w:rsid w:val="00D733F3"/>
    <w:rsid w:val="00D76D03"/>
    <w:rsid w:val="00D83CAC"/>
    <w:rsid w:val="00D875D0"/>
    <w:rsid w:val="00D90292"/>
    <w:rsid w:val="00D91356"/>
    <w:rsid w:val="00D97AA0"/>
    <w:rsid w:val="00DA478E"/>
    <w:rsid w:val="00DB5781"/>
    <w:rsid w:val="00DC1886"/>
    <w:rsid w:val="00DC21DE"/>
    <w:rsid w:val="00DC221F"/>
    <w:rsid w:val="00DC6AFA"/>
    <w:rsid w:val="00DE0E3C"/>
    <w:rsid w:val="00E02FC6"/>
    <w:rsid w:val="00E038B1"/>
    <w:rsid w:val="00E10345"/>
    <w:rsid w:val="00E12707"/>
    <w:rsid w:val="00E513AC"/>
    <w:rsid w:val="00E553F8"/>
    <w:rsid w:val="00E70E09"/>
    <w:rsid w:val="00E83BC5"/>
    <w:rsid w:val="00E83C95"/>
    <w:rsid w:val="00E86393"/>
    <w:rsid w:val="00E92653"/>
    <w:rsid w:val="00EA12AE"/>
    <w:rsid w:val="00EB67E2"/>
    <w:rsid w:val="00EB684D"/>
    <w:rsid w:val="00EC0DD2"/>
    <w:rsid w:val="00EC3C73"/>
    <w:rsid w:val="00EC5946"/>
    <w:rsid w:val="00EE05FF"/>
    <w:rsid w:val="00EF2967"/>
    <w:rsid w:val="00EF4BED"/>
    <w:rsid w:val="00EF7C30"/>
    <w:rsid w:val="00F060CE"/>
    <w:rsid w:val="00F22D49"/>
    <w:rsid w:val="00F2306F"/>
    <w:rsid w:val="00F23C01"/>
    <w:rsid w:val="00F27A57"/>
    <w:rsid w:val="00F42109"/>
    <w:rsid w:val="00F50FC1"/>
    <w:rsid w:val="00F611C7"/>
    <w:rsid w:val="00F63F09"/>
    <w:rsid w:val="00F71166"/>
    <w:rsid w:val="00F720F3"/>
    <w:rsid w:val="00F761D0"/>
    <w:rsid w:val="00F8738F"/>
    <w:rsid w:val="00FA01B8"/>
    <w:rsid w:val="00FA21FB"/>
    <w:rsid w:val="00FB09D3"/>
    <w:rsid w:val="00FB2E35"/>
    <w:rsid w:val="00FB5239"/>
    <w:rsid w:val="00FC2047"/>
    <w:rsid w:val="00FC29A9"/>
    <w:rsid w:val="00FC323F"/>
    <w:rsid w:val="00FC41F3"/>
    <w:rsid w:val="00FC6743"/>
    <w:rsid w:val="00FD176F"/>
    <w:rsid w:val="00FD62F5"/>
    <w:rsid w:val="00FE2428"/>
    <w:rsid w:val="00FE58B3"/>
    <w:rsid w:val="00FF2077"/>
    <w:rsid w:val="00FF37F8"/>
    <w:rsid w:val="00FF6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4DC17"/>
  <w15:docId w15:val="{9FD238C3-DB11-48AD-9673-58DF7CE9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A35"/>
    <w:rPr>
      <w:sz w:val="24"/>
    </w:rPr>
  </w:style>
  <w:style w:type="paragraph" w:styleId="Heading1">
    <w:name w:val="heading 1"/>
    <w:basedOn w:val="Normal"/>
    <w:next w:val="Normal"/>
    <w:link w:val="Heading1Char"/>
    <w:uiPriority w:val="9"/>
    <w:qFormat/>
    <w:rsid w:val="00811A35"/>
    <w:pPr>
      <w:keepNext/>
      <w:keepLines/>
      <w:spacing w:before="480" w:after="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811A35"/>
    <w:pPr>
      <w:keepNext/>
      <w:keepLines/>
      <w:spacing w:before="200" w:after="0"/>
      <w:outlineLvl w:val="1"/>
    </w:pPr>
    <w:rPr>
      <w:rFonts w:eastAsiaTheme="majorEastAsia" w:cstheme="majorBidi"/>
      <w:b/>
      <w:bCs/>
      <w:sz w:val="32"/>
      <w:szCs w:val="26"/>
    </w:rPr>
  </w:style>
  <w:style w:type="paragraph" w:styleId="Heading3">
    <w:name w:val="heading 3"/>
    <w:basedOn w:val="Normal"/>
    <w:next w:val="Normal"/>
    <w:link w:val="Heading3Char"/>
    <w:uiPriority w:val="9"/>
    <w:unhideWhenUsed/>
    <w:qFormat/>
    <w:rsid w:val="00811A35"/>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811A35"/>
    <w:pPr>
      <w:keepNext/>
      <w:keepLines/>
      <w:spacing w:before="200" w:after="0"/>
      <w:outlineLvl w:val="3"/>
    </w:pPr>
    <w:rPr>
      <w:rFonts w:eastAsiaTheme="majorEastAsia" w:cstheme="majorBidi"/>
      <w:b/>
      <w:bCs/>
      <w:iCs/>
      <w:sz w:val="26"/>
    </w:rPr>
  </w:style>
  <w:style w:type="paragraph" w:styleId="Heading5">
    <w:name w:val="heading 5"/>
    <w:basedOn w:val="Normal"/>
    <w:next w:val="Normal"/>
    <w:link w:val="Heading5Char"/>
    <w:uiPriority w:val="9"/>
    <w:unhideWhenUsed/>
    <w:qFormat/>
    <w:rsid w:val="00811A35"/>
    <w:pPr>
      <w:keepNext/>
      <w:keepLines/>
      <w:spacing w:before="20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A35"/>
    <w:rPr>
      <w:rFonts w:eastAsiaTheme="majorEastAsia" w:cstheme="majorBidi"/>
      <w:b/>
      <w:bCs/>
      <w:sz w:val="36"/>
      <w:szCs w:val="28"/>
    </w:rPr>
  </w:style>
  <w:style w:type="character" w:customStyle="1" w:styleId="Heading2Char">
    <w:name w:val="Heading 2 Char"/>
    <w:basedOn w:val="DefaultParagraphFont"/>
    <w:link w:val="Heading2"/>
    <w:uiPriority w:val="9"/>
    <w:rsid w:val="00811A35"/>
    <w:rPr>
      <w:rFonts w:eastAsiaTheme="majorEastAsia" w:cstheme="majorBidi"/>
      <w:b/>
      <w:bCs/>
      <w:sz w:val="32"/>
      <w:szCs w:val="26"/>
    </w:rPr>
  </w:style>
  <w:style w:type="character" w:customStyle="1" w:styleId="Heading3Char">
    <w:name w:val="Heading 3 Char"/>
    <w:basedOn w:val="DefaultParagraphFont"/>
    <w:link w:val="Heading3"/>
    <w:uiPriority w:val="9"/>
    <w:rsid w:val="00811A35"/>
    <w:rPr>
      <w:rFonts w:eastAsiaTheme="majorEastAsia" w:cstheme="majorBidi"/>
      <w:b/>
      <w:bCs/>
      <w:sz w:val="28"/>
    </w:rPr>
  </w:style>
  <w:style w:type="character" w:customStyle="1" w:styleId="Heading4Char">
    <w:name w:val="Heading 4 Char"/>
    <w:basedOn w:val="DefaultParagraphFont"/>
    <w:link w:val="Heading4"/>
    <w:uiPriority w:val="9"/>
    <w:rsid w:val="00811A35"/>
    <w:rPr>
      <w:rFonts w:eastAsiaTheme="majorEastAsia" w:cstheme="majorBidi"/>
      <w:b/>
      <w:bCs/>
      <w:iCs/>
      <w:sz w:val="26"/>
    </w:rPr>
  </w:style>
  <w:style w:type="character" w:customStyle="1" w:styleId="Heading5Char">
    <w:name w:val="Heading 5 Char"/>
    <w:basedOn w:val="DefaultParagraphFont"/>
    <w:link w:val="Heading5"/>
    <w:uiPriority w:val="9"/>
    <w:rsid w:val="00811A35"/>
    <w:rPr>
      <w:rFonts w:eastAsiaTheme="majorEastAsia" w:cstheme="majorBidi"/>
      <w:b/>
      <w:sz w:val="24"/>
    </w:rPr>
  </w:style>
  <w:style w:type="paragraph" w:styleId="Header">
    <w:name w:val="header"/>
    <w:basedOn w:val="Normal"/>
    <w:link w:val="HeaderChar"/>
    <w:uiPriority w:val="99"/>
    <w:unhideWhenUsed/>
    <w:rsid w:val="00811A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A35"/>
    <w:rPr>
      <w:sz w:val="24"/>
    </w:rPr>
  </w:style>
  <w:style w:type="paragraph" w:styleId="Footer">
    <w:name w:val="footer"/>
    <w:basedOn w:val="Normal"/>
    <w:link w:val="FooterChar"/>
    <w:uiPriority w:val="99"/>
    <w:unhideWhenUsed/>
    <w:rsid w:val="00811A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A35"/>
    <w:rPr>
      <w:sz w:val="24"/>
    </w:rPr>
  </w:style>
  <w:style w:type="paragraph" w:styleId="BalloonText">
    <w:name w:val="Balloon Text"/>
    <w:basedOn w:val="Normal"/>
    <w:link w:val="BalloonTextChar"/>
    <w:uiPriority w:val="99"/>
    <w:semiHidden/>
    <w:unhideWhenUsed/>
    <w:rsid w:val="00811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A35"/>
    <w:rPr>
      <w:rFonts w:ascii="Tahoma" w:hAnsi="Tahoma" w:cs="Tahoma"/>
      <w:sz w:val="16"/>
      <w:szCs w:val="16"/>
    </w:rPr>
  </w:style>
  <w:style w:type="paragraph" w:styleId="ListParagraph">
    <w:name w:val="List Paragraph"/>
    <w:basedOn w:val="Normal"/>
    <w:link w:val="ListParagraphChar"/>
    <w:uiPriority w:val="34"/>
    <w:qFormat/>
    <w:rsid w:val="00811A35"/>
    <w:pPr>
      <w:ind w:left="720"/>
      <w:contextualSpacing/>
    </w:pPr>
  </w:style>
  <w:style w:type="paragraph" w:customStyle="1" w:styleId="Bulletlist">
    <w:name w:val="Bullet list"/>
    <w:basedOn w:val="ListParagraph"/>
    <w:link w:val="BulletlistChar"/>
    <w:qFormat/>
    <w:rsid w:val="00811A35"/>
    <w:pPr>
      <w:numPr>
        <w:numId w:val="1"/>
      </w:numPr>
    </w:pPr>
  </w:style>
  <w:style w:type="paragraph" w:customStyle="1" w:styleId="Headers">
    <w:name w:val="Headers"/>
    <w:basedOn w:val="Header"/>
    <w:link w:val="HeadersChar"/>
    <w:rsid w:val="00CA5ED8"/>
    <w:rPr>
      <w:noProof/>
      <w:lang w:eastAsia="en-GB"/>
    </w:rPr>
  </w:style>
  <w:style w:type="character" w:customStyle="1" w:styleId="ListParagraphChar">
    <w:name w:val="List Paragraph Char"/>
    <w:basedOn w:val="DefaultParagraphFont"/>
    <w:link w:val="ListParagraph"/>
    <w:uiPriority w:val="34"/>
    <w:rsid w:val="00811A35"/>
    <w:rPr>
      <w:sz w:val="24"/>
    </w:rPr>
  </w:style>
  <w:style w:type="character" w:customStyle="1" w:styleId="BulletlistChar">
    <w:name w:val="Bullet list Char"/>
    <w:basedOn w:val="ListParagraphChar"/>
    <w:link w:val="Bulletlist"/>
    <w:rsid w:val="00811A35"/>
    <w:rPr>
      <w:sz w:val="24"/>
    </w:rPr>
  </w:style>
  <w:style w:type="character" w:styleId="PageNumber">
    <w:name w:val="page number"/>
    <w:basedOn w:val="DefaultParagraphFont"/>
    <w:uiPriority w:val="99"/>
    <w:unhideWhenUsed/>
    <w:rsid w:val="00CA5ED8"/>
  </w:style>
  <w:style w:type="character" w:customStyle="1" w:styleId="HeadersChar">
    <w:name w:val="Headers Char"/>
    <w:basedOn w:val="HeaderChar"/>
    <w:link w:val="Headers"/>
    <w:rsid w:val="00CA5ED8"/>
    <w:rPr>
      <w:noProof/>
      <w:sz w:val="24"/>
      <w:lang w:eastAsia="en-GB"/>
    </w:rPr>
  </w:style>
  <w:style w:type="paragraph" w:customStyle="1" w:styleId="Numberlist">
    <w:name w:val="Number list"/>
    <w:basedOn w:val="ListParagraph"/>
    <w:link w:val="NumberlistChar"/>
    <w:qFormat/>
    <w:rsid w:val="008B2514"/>
    <w:pPr>
      <w:numPr>
        <w:numId w:val="2"/>
      </w:numPr>
    </w:pPr>
  </w:style>
  <w:style w:type="character" w:customStyle="1" w:styleId="NumberlistChar">
    <w:name w:val="Number list Char"/>
    <w:basedOn w:val="ListParagraphChar"/>
    <w:link w:val="Numberlist"/>
    <w:rsid w:val="008B2514"/>
    <w:rPr>
      <w:sz w:val="24"/>
    </w:rPr>
  </w:style>
  <w:style w:type="table" w:styleId="TableGrid">
    <w:name w:val="Table Grid"/>
    <w:basedOn w:val="TableNormal"/>
    <w:uiPriority w:val="59"/>
    <w:rsid w:val="00A84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4B7D"/>
    <w:rPr>
      <w:rFonts w:ascii="Times New Roman" w:hAnsi="Times New Roman" w:cs="Times New Roman"/>
      <w:szCs w:val="24"/>
    </w:rPr>
  </w:style>
  <w:style w:type="character" w:styleId="Hyperlink">
    <w:name w:val="Hyperlink"/>
    <w:basedOn w:val="DefaultParagraphFont"/>
    <w:uiPriority w:val="99"/>
    <w:semiHidden/>
    <w:unhideWhenUsed/>
    <w:rsid w:val="007443C2"/>
    <w:rPr>
      <w:color w:val="0000FF" w:themeColor="hyperlink"/>
      <w:u w:val="single"/>
    </w:rPr>
  </w:style>
  <w:style w:type="paragraph" w:styleId="ListBullet">
    <w:name w:val="List Bullet"/>
    <w:basedOn w:val="BodyText"/>
    <w:uiPriority w:val="14"/>
    <w:semiHidden/>
    <w:unhideWhenUsed/>
    <w:qFormat/>
    <w:rsid w:val="007443C2"/>
    <w:pPr>
      <w:numPr>
        <w:numId w:val="5"/>
      </w:numPr>
      <w:tabs>
        <w:tab w:val="clear" w:pos="2149"/>
        <w:tab w:val="num" w:pos="360"/>
      </w:tabs>
      <w:spacing w:after="50" w:line="360" w:lineRule="atLeast"/>
      <w:ind w:left="0" w:firstLine="0"/>
    </w:pPr>
    <w:rPr>
      <w:rFonts w:cstheme="minorBidi"/>
      <w:color w:val="231F20"/>
      <w:szCs w:val="24"/>
    </w:rPr>
  </w:style>
  <w:style w:type="paragraph" w:styleId="ListBullet2">
    <w:name w:val="List Bullet 2"/>
    <w:basedOn w:val="BodyText"/>
    <w:uiPriority w:val="14"/>
    <w:semiHidden/>
    <w:unhideWhenUsed/>
    <w:qFormat/>
    <w:rsid w:val="007443C2"/>
    <w:pPr>
      <w:numPr>
        <w:ilvl w:val="1"/>
        <w:numId w:val="5"/>
      </w:numPr>
      <w:tabs>
        <w:tab w:val="clear" w:pos="2716"/>
        <w:tab w:val="num" w:pos="360"/>
      </w:tabs>
      <w:spacing w:after="50" w:line="360" w:lineRule="atLeast"/>
      <w:ind w:left="0" w:firstLine="0"/>
    </w:pPr>
    <w:rPr>
      <w:rFonts w:cstheme="minorBidi"/>
      <w:color w:val="231F20"/>
      <w:szCs w:val="24"/>
    </w:rPr>
  </w:style>
  <w:style w:type="paragraph" w:styleId="ListBullet3">
    <w:name w:val="List Bullet 3"/>
    <w:basedOn w:val="BodyText"/>
    <w:uiPriority w:val="99"/>
    <w:semiHidden/>
    <w:unhideWhenUsed/>
    <w:qFormat/>
    <w:rsid w:val="007443C2"/>
    <w:pPr>
      <w:numPr>
        <w:ilvl w:val="2"/>
        <w:numId w:val="5"/>
      </w:numPr>
      <w:tabs>
        <w:tab w:val="clear" w:pos="2654"/>
        <w:tab w:val="num" w:pos="360"/>
      </w:tabs>
      <w:spacing w:after="280" w:line="360" w:lineRule="atLeast"/>
      <w:ind w:left="0" w:firstLine="0"/>
      <w:contextualSpacing/>
    </w:pPr>
    <w:rPr>
      <w:rFonts w:cstheme="minorBidi"/>
      <w:color w:val="231F20"/>
      <w:szCs w:val="24"/>
    </w:rPr>
  </w:style>
  <w:style w:type="paragraph" w:styleId="ListBullet4">
    <w:name w:val="List Bullet 4"/>
    <w:basedOn w:val="BodyText"/>
    <w:uiPriority w:val="99"/>
    <w:semiHidden/>
    <w:unhideWhenUsed/>
    <w:rsid w:val="007443C2"/>
    <w:pPr>
      <w:numPr>
        <w:ilvl w:val="3"/>
        <w:numId w:val="5"/>
      </w:numPr>
      <w:tabs>
        <w:tab w:val="clear" w:pos="3011"/>
        <w:tab w:val="num" w:pos="360"/>
      </w:tabs>
      <w:spacing w:after="280" w:line="360" w:lineRule="atLeast"/>
      <w:ind w:left="0" w:firstLine="0"/>
      <w:contextualSpacing/>
    </w:pPr>
    <w:rPr>
      <w:rFonts w:cstheme="minorBidi"/>
      <w:color w:val="231F20"/>
      <w:szCs w:val="24"/>
    </w:rPr>
  </w:style>
  <w:style w:type="paragraph" w:styleId="ListBullet5">
    <w:name w:val="List Bullet 5"/>
    <w:basedOn w:val="BodyText"/>
    <w:uiPriority w:val="99"/>
    <w:semiHidden/>
    <w:unhideWhenUsed/>
    <w:rsid w:val="007443C2"/>
    <w:pPr>
      <w:numPr>
        <w:ilvl w:val="4"/>
        <w:numId w:val="5"/>
      </w:numPr>
      <w:tabs>
        <w:tab w:val="clear" w:pos="3368"/>
        <w:tab w:val="num" w:pos="360"/>
      </w:tabs>
      <w:spacing w:after="280" w:line="360" w:lineRule="atLeast"/>
      <w:ind w:left="0" w:firstLine="0"/>
      <w:contextualSpacing/>
    </w:pPr>
    <w:rPr>
      <w:rFonts w:cstheme="minorBidi"/>
      <w:color w:val="231F20"/>
      <w:szCs w:val="24"/>
    </w:rPr>
  </w:style>
  <w:style w:type="numbering" w:customStyle="1" w:styleId="NHSBullets">
    <w:name w:val="NHS Bullets"/>
    <w:uiPriority w:val="99"/>
    <w:rsid w:val="007443C2"/>
    <w:pPr>
      <w:numPr>
        <w:numId w:val="5"/>
      </w:numPr>
    </w:pPr>
  </w:style>
  <w:style w:type="paragraph" w:styleId="BodyText">
    <w:name w:val="Body Text"/>
    <w:basedOn w:val="Normal"/>
    <w:link w:val="BodyTextChar"/>
    <w:uiPriority w:val="99"/>
    <w:semiHidden/>
    <w:unhideWhenUsed/>
    <w:rsid w:val="007443C2"/>
    <w:pPr>
      <w:spacing w:after="120"/>
    </w:pPr>
  </w:style>
  <w:style w:type="character" w:customStyle="1" w:styleId="BodyTextChar">
    <w:name w:val="Body Text Char"/>
    <w:basedOn w:val="DefaultParagraphFont"/>
    <w:link w:val="BodyText"/>
    <w:uiPriority w:val="99"/>
    <w:semiHidden/>
    <w:rsid w:val="007443C2"/>
    <w:rPr>
      <w:sz w:val="24"/>
    </w:rPr>
  </w:style>
  <w:style w:type="paragraph" w:customStyle="1" w:styleId="TableParagraph">
    <w:name w:val="Table Paragraph"/>
    <w:basedOn w:val="Normal"/>
    <w:uiPriority w:val="1"/>
    <w:qFormat/>
    <w:rsid w:val="00846321"/>
    <w:pPr>
      <w:widowControl w:val="0"/>
      <w:autoSpaceDE w:val="0"/>
      <w:autoSpaceDN w:val="0"/>
      <w:spacing w:after="0" w:line="240" w:lineRule="auto"/>
      <w:ind w:left="107"/>
    </w:pPr>
    <w:rPr>
      <w:rFonts w:eastAsia="Arial"/>
      <w:sz w:val="22"/>
      <w:lang w:val="en-US"/>
    </w:rPr>
  </w:style>
  <w:style w:type="character" w:styleId="CommentReference">
    <w:name w:val="annotation reference"/>
    <w:basedOn w:val="DefaultParagraphFont"/>
    <w:uiPriority w:val="99"/>
    <w:semiHidden/>
    <w:unhideWhenUsed/>
    <w:rsid w:val="00A2047F"/>
    <w:rPr>
      <w:sz w:val="16"/>
      <w:szCs w:val="16"/>
    </w:rPr>
  </w:style>
  <w:style w:type="paragraph" w:styleId="CommentText">
    <w:name w:val="annotation text"/>
    <w:basedOn w:val="Normal"/>
    <w:link w:val="CommentTextChar"/>
    <w:uiPriority w:val="99"/>
    <w:unhideWhenUsed/>
    <w:rsid w:val="00A2047F"/>
    <w:pPr>
      <w:spacing w:line="240" w:lineRule="auto"/>
    </w:pPr>
    <w:rPr>
      <w:sz w:val="20"/>
      <w:szCs w:val="20"/>
    </w:rPr>
  </w:style>
  <w:style w:type="character" w:customStyle="1" w:styleId="CommentTextChar">
    <w:name w:val="Comment Text Char"/>
    <w:basedOn w:val="DefaultParagraphFont"/>
    <w:link w:val="CommentText"/>
    <w:uiPriority w:val="99"/>
    <w:rsid w:val="00A2047F"/>
    <w:rPr>
      <w:sz w:val="20"/>
      <w:szCs w:val="20"/>
    </w:rPr>
  </w:style>
  <w:style w:type="paragraph" w:styleId="CommentSubject">
    <w:name w:val="annotation subject"/>
    <w:basedOn w:val="CommentText"/>
    <w:next w:val="CommentText"/>
    <w:link w:val="CommentSubjectChar"/>
    <w:uiPriority w:val="99"/>
    <w:semiHidden/>
    <w:unhideWhenUsed/>
    <w:rsid w:val="00A2047F"/>
    <w:rPr>
      <w:b/>
      <w:bCs/>
    </w:rPr>
  </w:style>
  <w:style w:type="character" w:customStyle="1" w:styleId="CommentSubjectChar">
    <w:name w:val="Comment Subject Char"/>
    <w:basedOn w:val="CommentTextChar"/>
    <w:link w:val="CommentSubject"/>
    <w:uiPriority w:val="99"/>
    <w:semiHidden/>
    <w:rsid w:val="00A2047F"/>
    <w:rPr>
      <w:b/>
      <w:bCs/>
      <w:sz w:val="20"/>
      <w:szCs w:val="20"/>
    </w:rPr>
  </w:style>
  <w:style w:type="paragraph" w:customStyle="1" w:styleId="Default">
    <w:name w:val="Default"/>
    <w:rsid w:val="00CB1DC2"/>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1548">
      <w:bodyDiv w:val="1"/>
      <w:marLeft w:val="0"/>
      <w:marRight w:val="0"/>
      <w:marTop w:val="0"/>
      <w:marBottom w:val="0"/>
      <w:divBdr>
        <w:top w:val="none" w:sz="0" w:space="0" w:color="auto"/>
        <w:left w:val="none" w:sz="0" w:space="0" w:color="auto"/>
        <w:bottom w:val="none" w:sz="0" w:space="0" w:color="auto"/>
        <w:right w:val="none" w:sz="0" w:space="0" w:color="auto"/>
      </w:divBdr>
    </w:div>
    <w:div w:id="291179738">
      <w:bodyDiv w:val="1"/>
      <w:marLeft w:val="0"/>
      <w:marRight w:val="0"/>
      <w:marTop w:val="0"/>
      <w:marBottom w:val="0"/>
      <w:divBdr>
        <w:top w:val="none" w:sz="0" w:space="0" w:color="auto"/>
        <w:left w:val="none" w:sz="0" w:space="0" w:color="auto"/>
        <w:bottom w:val="none" w:sz="0" w:space="0" w:color="auto"/>
        <w:right w:val="none" w:sz="0" w:space="0" w:color="auto"/>
      </w:divBdr>
    </w:div>
    <w:div w:id="1352679526">
      <w:bodyDiv w:val="1"/>
      <w:marLeft w:val="0"/>
      <w:marRight w:val="0"/>
      <w:marTop w:val="0"/>
      <w:marBottom w:val="0"/>
      <w:divBdr>
        <w:top w:val="none" w:sz="0" w:space="0" w:color="auto"/>
        <w:left w:val="none" w:sz="0" w:space="0" w:color="auto"/>
        <w:bottom w:val="none" w:sz="0" w:space="0" w:color="auto"/>
        <w:right w:val="none" w:sz="0" w:space="0" w:color="auto"/>
      </w:divBdr>
    </w:div>
    <w:div w:id="1510757715">
      <w:bodyDiv w:val="1"/>
      <w:marLeft w:val="0"/>
      <w:marRight w:val="0"/>
      <w:marTop w:val="0"/>
      <w:marBottom w:val="0"/>
      <w:divBdr>
        <w:top w:val="none" w:sz="0" w:space="0" w:color="auto"/>
        <w:left w:val="none" w:sz="0" w:space="0" w:color="auto"/>
        <w:bottom w:val="none" w:sz="0" w:space="0" w:color="auto"/>
        <w:right w:val="none" w:sz="0" w:space="0" w:color="auto"/>
      </w:divBdr>
    </w:div>
    <w:div w:id="1670283205">
      <w:bodyDiv w:val="1"/>
      <w:marLeft w:val="0"/>
      <w:marRight w:val="0"/>
      <w:marTop w:val="0"/>
      <w:marBottom w:val="0"/>
      <w:divBdr>
        <w:top w:val="none" w:sz="0" w:space="0" w:color="auto"/>
        <w:left w:val="none" w:sz="0" w:space="0" w:color="auto"/>
        <w:bottom w:val="none" w:sz="0" w:space="0" w:color="auto"/>
        <w:right w:val="none" w:sz="0" w:space="0" w:color="auto"/>
      </w:divBdr>
    </w:div>
    <w:div w:id="1969432177">
      <w:bodyDiv w:val="1"/>
      <w:marLeft w:val="0"/>
      <w:marRight w:val="0"/>
      <w:marTop w:val="0"/>
      <w:marBottom w:val="0"/>
      <w:divBdr>
        <w:top w:val="none" w:sz="0" w:space="0" w:color="auto"/>
        <w:left w:val="none" w:sz="0" w:space="0" w:color="auto"/>
        <w:bottom w:val="none" w:sz="0" w:space="0" w:color="auto"/>
        <w:right w:val="none" w:sz="0" w:space="0" w:color="auto"/>
      </w:divBdr>
    </w:div>
    <w:div w:id="207566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lbotl1\OneDrive%20-%20NHS\Downloads\02-Board-Report-Template-Master-_V2_May-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7cfe0df-5956-4372-8bcd-77ed20f22f20">
      <Terms xmlns="http://schemas.microsoft.com/office/infopath/2007/PartnerControls"/>
    </lcf76f155ced4ddcb4097134ff3c332f>
    <TaxCatchAll xmlns="5830566c-5530-4cd1-aa3e-3d53a1ffd28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0E4A60F9C18F4DBC60B0ED03D34A49" ma:contentTypeVersion="15" ma:contentTypeDescription="Create a new document." ma:contentTypeScope="" ma:versionID="1e151a8b9256d542b074defef03a1a49">
  <xsd:schema xmlns:xsd="http://www.w3.org/2001/XMLSchema" xmlns:xs="http://www.w3.org/2001/XMLSchema" xmlns:p="http://schemas.microsoft.com/office/2006/metadata/properties" xmlns:ns1="http://schemas.microsoft.com/sharepoint/v3" xmlns:ns2="17cfe0df-5956-4372-8bcd-77ed20f22f20" xmlns:ns3="5830566c-5530-4cd1-aa3e-3d53a1ffd281" targetNamespace="http://schemas.microsoft.com/office/2006/metadata/properties" ma:root="true" ma:fieldsID="92d39ebf2c200715c7b427e05bbdc90c" ns1:_="" ns2:_="" ns3:_="">
    <xsd:import namespace="http://schemas.microsoft.com/sharepoint/v3"/>
    <xsd:import namespace="17cfe0df-5956-4372-8bcd-77ed20f22f20"/>
    <xsd:import namespace="5830566c-5530-4cd1-aa3e-3d53a1ffd2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cfe0df-5956-4372-8bcd-77ed20f22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30566c-5530-4cd1-aa3e-3d53a1ffd2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da65e42-8015-4870-b03b-ecc922b1c3e7}" ma:internalName="TaxCatchAll" ma:showField="CatchAllData" ma:web="5830566c-5530-4cd1-aa3e-3d53a1ffd28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CF100-9A92-4F6A-9C22-565561BB602A}">
  <ds:schemaRefs>
    <ds:schemaRef ds:uri="http://schemas.microsoft.com/office/2006/metadata/properties"/>
    <ds:schemaRef ds:uri="http://schemas.microsoft.com/office/infopath/2007/PartnerControls"/>
    <ds:schemaRef ds:uri="http://schemas.microsoft.com/sharepoint/v3"/>
    <ds:schemaRef ds:uri="17cfe0df-5956-4372-8bcd-77ed20f22f20"/>
    <ds:schemaRef ds:uri="5830566c-5530-4cd1-aa3e-3d53a1ffd281"/>
  </ds:schemaRefs>
</ds:datastoreItem>
</file>

<file path=customXml/itemProps2.xml><?xml version="1.0" encoding="utf-8"?>
<ds:datastoreItem xmlns:ds="http://schemas.openxmlformats.org/officeDocument/2006/customXml" ds:itemID="{BBC53A99-B244-475C-828B-1C30E4E139CA}">
  <ds:schemaRefs>
    <ds:schemaRef ds:uri="http://schemas.openxmlformats.org/officeDocument/2006/bibliography"/>
  </ds:schemaRefs>
</ds:datastoreItem>
</file>

<file path=customXml/itemProps3.xml><?xml version="1.0" encoding="utf-8"?>
<ds:datastoreItem xmlns:ds="http://schemas.openxmlformats.org/officeDocument/2006/customXml" ds:itemID="{8493CD3A-603A-4502-B7A0-1EB40F2DD3B5}">
  <ds:schemaRefs>
    <ds:schemaRef ds:uri="http://schemas.microsoft.com/sharepoint/v3/contenttype/forms"/>
  </ds:schemaRefs>
</ds:datastoreItem>
</file>

<file path=customXml/itemProps4.xml><?xml version="1.0" encoding="utf-8"?>
<ds:datastoreItem xmlns:ds="http://schemas.openxmlformats.org/officeDocument/2006/customXml" ds:itemID="{96D697F8-1B93-438B-A790-00B0F439C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cfe0df-5956-4372-8bcd-77ed20f22f20"/>
    <ds:schemaRef ds:uri="5830566c-5530-4cd1-aa3e-3d53a1ffd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02-Board-Report-Template-Master-_V2_May-2023</Template>
  <TotalTime>2</TotalTime>
  <Pages>7</Pages>
  <Words>1707</Words>
  <Characters>9735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BFW Hospitals NHS Foundation Trust</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Talbot Louise (BCCG)</dc:creator>
  <cp:lastModifiedBy>Thornton Sean (NHS Southern Derbyshire CCG)</cp:lastModifiedBy>
  <cp:revision>3</cp:revision>
  <dcterms:created xsi:type="dcterms:W3CDTF">2024-09-17T07:40:00Z</dcterms:created>
  <dcterms:modified xsi:type="dcterms:W3CDTF">2024-09-17T07:40:00Z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0x010100D9CD6B83B4635A49A316482072E0D62F</vt:lpwstr>
  </property>
  <property fmtid="{D5CDD505-2E9C-101B-9397-08002B2CF9AE}" pid="3" name="MediaServiceImageTags">
    <vt:lpwstr/>
  </property>
</Properties>
</file>