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E11F" w14:textId="77777777" w:rsidR="004139AA" w:rsidRPr="00803C23" w:rsidRDefault="004139AA" w:rsidP="00803C23">
      <w:pPr>
        <w:rPr>
          <w:sz w:val="24"/>
          <w:szCs w:val="24"/>
        </w:rPr>
      </w:pPr>
    </w:p>
    <w:p w14:paraId="14A80D48" w14:textId="272B3FF4" w:rsidR="00A80108" w:rsidRPr="00803C23" w:rsidRDefault="004139AA" w:rsidP="00803C23">
      <w:pPr>
        <w:rPr>
          <w:b/>
          <w:bCs/>
          <w:sz w:val="24"/>
          <w:szCs w:val="24"/>
        </w:rPr>
      </w:pPr>
      <w:r w:rsidRPr="00803C23">
        <w:rPr>
          <w:b/>
          <w:bCs/>
          <w:sz w:val="24"/>
          <w:szCs w:val="24"/>
        </w:rPr>
        <w:t>EDS Domain 2 scoring</w:t>
      </w:r>
      <w:r w:rsidR="00887044" w:rsidRPr="00803C23">
        <w:rPr>
          <w:b/>
          <w:bCs/>
          <w:sz w:val="24"/>
          <w:szCs w:val="24"/>
        </w:rPr>
        <w:t xml:space="preserve"> report</w:t>
      </w:r>
    </w:p>
    <w:p w14:paraId="117D8734" w14:textId="77777777" w:rsidR="004139AA" w:rsidRPr="00803C23" w:rsidRDefault="004139AA" w:rsidP="00803C23">
      <w:pPr>
        <w:rPr>
          <w:sz w:val="24"/>
          <w:szCs w:val="24"/>
        </w:rPr>
      </w:pPr>
    </w:p>
    <w:p w14:paraId="25DDC395" w14:textId="46C006E2" w:rsidR="004139AA" w:rsidRPr="00803C23" w:rsidRDefault="001044C7" w:rsidP="00803C23">
      <w:pPr>
        <w:contextualSpacing/>
        <w:rPr>
          <w:sz w:val="24"/>
          <w:szCs w:val="24"/>
        </w:rPr>
      </w:pPr>
      <w:r w:rsidRPr="00803C23">
        <w:rPr>
          <w:sz w:val="24"/>
          <w:szCs w:val="24"/>
        </w:rPr>
        <w:t>T</w:t>
      </w:r>
      <w:r w:rsidR="004139AA" w:rsidRPr="00803C23">
        <w:rPr>
          <w:sz w:val="24"/>
          <w:szCs w:val="24"/>
        </w:rPr>
        <w:t>he I</w:t>
      </w:r>
      <w:r w:rsidRPr="00803C23">
        <w:rPr>
          <w:sz w:val="24"/>
          <w:szCs w:val="24"/>
        </w:rPr>
        <w:t xml:space="preserve">ntegrated </w:t>
      </w:r>
      <w:r w:rsidR="004139AA" w:rsidRPr="00803C23">
        <w:rPr>
          <w:sz w:val="24"/>
          <w:szCs w:val="24"/>
        </w:rPr>
        <w:t>C</w:t>
      </w:r>
      <w:r w:rsidRPr="00803C23">
        <w:rPr>
          <w:sz w:val="24"/>
          <w:szCs w:val="24"/>
        </w:rPr>
        <w:t xml:space="preserve">are </w:t>
      </w:r>
      <w:r w:rsidR="004139AA" w:rsidRPr="00803C23">
        <w:rPr>
          <w:sz w:val="24"/>
          <w:szCs w:val="24"/>
        </w:rPr>
        <w:t>B</w:t>
      </w:r>
      <w:r w:rsidRPr="00803C23">
        <w:rPr>
          <w:sz w:val="24"/>
          <w:szCs w:val="24"/>
        </w:rPr>
        <w:t>oard</w:t>
      </w:r>
      <w:r w:rsidR="004139AA" w:rsidRPr="00803C23">
        <w:rPr>
          <w:sz w:val="24"/>
          <w:szCs w:val="24"/>
        </w:rPr>
        <w:t xml:space="preserve"> </w:t>
      </w:r>
      <w:r w:rsidRPr="00803C23">
        <w:rPr>
          <w:sz w:val="24"/>
          <w:szCs w:val="24"/>
        </w:rPr>
        <w:t xml:space="preserve">(ICB) </w:t>
      </w:r>
      <w:r w:rsidR="004139AA" w:rsidRPr="00803C23">
        <w:rPr>
          <w:sz w:val="24"/>
          <w:szCs w:val="24"/>
        </w:rPr>
        <w:t>Chief People Officer and Assistant Director of H</w:t>
      </w:r>
      <w:r w:rsidRPr="00803C23">
        <w:rPr>
          <w:sz w:val="24"/>
          <w:szCs w:val="24"/>
        </w:rPr>
        <w:t xml:space="preserve">uman </w:t>
      </w:r>
      <w:r w:rsidR="004139AA" w:rsidRPr="00803C23">
        <w:rPr>
          <w:sz w:val="24"/>
          <w:szCs w:val="24"/>
        </w:rPr>
        <w:t>R</w:t>
      </w:r>
      <w:r w:rsidRPr="00803C23">
        <w:rPr>
          <w:sz w:val="24"/>
          <w:szCs w:val="24"/>
        </w:rPr>
        <w:t>esources</w:t>
      </w:r>
      <w:r w:rsidR="004139AA" w:rsidRPr="00803C23">
        <w:rPr>
          <w:sz w:val="24"/>
          <w:szCs w:val="24"/>
        </w:rPr>
        <w:t xml:space="preserve"> and O</w:t>
      </w:r>
      <w:r w:rsidRPr="00803C23">
        <w:rPr>
          <w:sz w:val="24"/>
          <w:szCs w:val="24"/>
        </w:rPr>
        <w:t xml:space="preserve">rganisational </w:t>
      </w:r>
      <w:r w:rsidR="004139AA" w:rsidRPr="00803C23">
        <w:rPr>
          <w:sz w:val="24"/>
          <w:szCs w:val="24"/>
        </w:rPr>
        <w:t>D</w:t>
      </w:r>
      <w:r w:rsidR="00887044" w:rsidRPr="00803C23">
        <w:rPr>
          <w:sz w:val="24"/>
          <w:szCs w:val="24"/>
        </w:rPr>
        <w:t>evelopment</w:t>
      </w:r>
      <w:r w:rsidR="004139AA" w:rsidRPr="00803C23">
        <w:rPr>
          <w:sz w:val="24"/>
          <w:szCs w:val="24"/>
        </w:rPr>
        <w:t xml:space="preserve"> led an engagement event with colleagues from all directorates on 13</w:t>
      </w:r>
      <w:r w:rsidR="004139AA" w:rsidRPr="00803C23">
        <w:rPr>
          <w:sz w:val="24"/>
          <w:szCs w:val="24"/>
          <w:vertAlign w:val="superscript"/>
        </w:rPr>
        <w:t>th</w:t>
      </w:r>
      <w:r w:rsidR="004139AA" w:rsidRPr="00803C23">
        <w:rPr>
          <w:sz w:val="24"/>
          <w:szCs w:val="24"/>
        </w:rPr>
        <w:t xml:space="preserve"> February 2025.</w:t>
      </w:r>
    </w:p>
    <w:p w14:paraId="1B3D0CE0" w14:textId="77777777" w:rsidR="001044C7" w:rsidRPr="00803C23" w:rsidRDefault="001044C7" w:rsidP="00803C23">
      <w:pPr>
        <w:contextualSpacing/>
        <w:rPr>
          <w:sz w:val="24"/>
          <w:szCs w:val="24"/>
        </w:rPr>
      </w:pPr>
    </w:p>
    <w:p w14:paraId="47A4EA85" w14:textId="399FAFF7" w:rsidR="004139AA" w:rsidRPr="00803C23" w:rsidRDefault="004139AA" w:rsidP="00803C23">
      <w:pPr>
        <w:contextualSpacing/>
        <w:rPr>
          <w:sz w:val="24"/>
          <w:szCs w:val="24"/>
        </w:rPr>
      </w:pPr>
      <w:r w:rsidRPr="00803C23">
        <w:rPr>
          <w:sz w:val="24"/>
          <w:szCs w:val="24"/>
        </w:rPr>
        <w:t>Representatives from all directorates</w:t>
      </w:r>
      <w:r w:rsidR="001044C7" w:rsidRPr="00803C23">
        <w:rPr>
          <w:sz w:val="24"/>
          <w:szCs w:val="24"/>
        </w:rPr>
        <w:t>,</w:t>
      </w:r>
      <w:r w:rsidRPr="00803C23">
        <w:rPr>
          <w:sz w:val="24"/>
          <w:szCs w:val="24"/>
        </w:rPr>
        <w:t xml:space="preserve"> with a broad range of protected characteristics as specified in the EDS2 guidance</w:t>
      </w:r>
      <w:r w:rsidR="001044C7" w:rsidRPr="00803C23">
        <w:rPr>
          <w:sz w:val="24"/>
          <w:szCs w:val="24"/>
        </w:rPr>
        <w:t>'</w:t>
      </w:r>
      <w:r w:rsidRPr="00803C23">
        <w:rPr>
          <w:sz w:val="24"/>
          <w:szCs w:val="24"/>
        </w:rPr>
        <w:t xml:space="preserve"> were invited to attend the event. </w:t>
      </w:r>
    </w:p>
    <w:p w14:paraId="55C9C52B" w14:textId="77777777" w:rsidR="001044C7" w:rsidRPr="00803C23" w:rsidRDefault="001044C7" w:rsidP="00803C23">
      <w:pPr>
        <w:contextualSpacing/>
        <w:rPr>
          <w:sz w:val="24"/>
          <w:szCs w:val="24"/>
        </w:rPr>
      </w:pPr>
    </w:p>
    <w:p w14:paraId="1CC5BD6C" w14:textId="29C69D2B" w:rsidR="004139AA" w:rsidRPr="00803C23" w:rsidRDefault="004139AA" w:rsidP="00803C23">
      <w:pPr>
        <w:contextualSpacing/>
        <w:rPr>
          <w:sz w:val="24"/>
          <w:szCs w:val="24"/>
        </w:rPr>
      </w:pPr>
      <w:r w:rsidRPr="00803C23">
        <w:rPr>
          <w:sz w:val="24"/>
          <w:szCs w:val="24"/>
        </w:rPr>
        <w:t>A presentation was given on how the ICB has enabled and embedded services to support our ICB workforce in relation to health and well-being activities and initiatives against the EDS2 Domain 2 standard</w:t>
      </w:r>
      <w:r w:rsidR="001044C7" w:rsidRPr="00803C23">
        <w:rPr>
          <w:sz w:val="24"/>
          <w:szCs w:val="24"/>
        </w:rPr>
        <w:t>s.</w:t>
      </w:r>
    </w:p>
    <w:p w14:paraId="5D9C0161" w14:textId="77777777" w:rsidR="001044C7" w:rsidRPr="00803C23" w:rsidRDefault="001044C7" w:rsidP="00803C23">
      <w:pPr>
        <w:contextualSpacing/>
        <w:rPr>
          <w:sz w:val="24"/>
          <w:szCs w:val="24"/>
        </w:rPr>
      </w:pPr>
    </w:p>
    <w:p w14:paraId="34AF329A" w14:textId="705F7BAF" w:rsidR="00887044" w:rsidRPr="00803C23" w:rsidRDefault="001044C7" w:rsidP="00803C23">
      <w:pPr>
        <w:contextualSpacing/>
        <w:rPr>
          <w:sz w:val="24"/>
          <w:szCs w:val="24"/>
        </w:rPr>
      </w:pPr>
      <w:r w:rsidRPr="00803C23">
        <w:rPr>
          <w:sz w:val="24"/>
          <w:szCs w:val="24"/>
        </w:rPr>
        <w:t>Colleagues were asked to score on how mature they thought that these services were embedded and effective with the ICB using the nationally prescribed scoring system.</w:t>
      </w:r>
    </w:p>
    <w:p w14:paraId="448D3CED" w14:textId="77777777" w:rsidR="00887044" w:rsidRPr="00803C23" w:rsidRDefault="00887044" w:rsidP="00803C23">
      <w:pPr>
        <w:contextualSpacing/>
        <w:rPr>
          <w:sz w:val="24"/>
          <w:szCs w:val="24"/>
        </w:rPr>
      </w:pPr>
    </w:p>
    <w:p w14:paraId="05AB1ECC" w14:textId="025D6543" w:rsidR="00887044" w:rsidRPr="00803C23" w:rsidRDefault="00887044" w:rsidP="00803C23">
      <w:pPr>
        <w:contextualSpacing/>
        <w:rPr>
          <w:sz w:val="24"/>
          <w:szCs w:val="24"/>
        </w:rPr>
      </w:pPr>
      <w:r w:rsidRPr="00803C23">
        <w:rPr>
          <w:noProof/>
          <w:sz w:val="24"/>
          <w:szCs w:val="24"/>
        </w:rPr>
        <w:drawing>
          <wp:anchor distT="0" distB="0" distL="114300" distR="114300" simplePos="0" relativeHeight="251659264" behindDoc="0" locked="0" layoutInCell="1" allowOverlap="1" wp14:anchorId="54027F4D" wp14:editId="32D99198">
            <wp:simplePos x="0" y="0"/>
            <wp:positionH relativeFrom="column">
              <wp:posOffset>0</wp:posOffset>
            </wp:positionH>
            <wp:positionV relativeFrom="paragraph">
              <wp:posOffset>159385</wp:posOffset>
            </wp:positionV>
            <wp:extent cx="4841875" cy="2092325"/>
            <wp:effectExtent l="0" t="0" r="0" b="3175"/>
            <wp:wrapSquare wrapText="bothSides"/>
            <wp:docPr id="5701137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13704" name="Picture 1" descr="A screenshot of a computer&#10;&#10;Description automatically generated"/>
                    <pic:cNvPicPr/>
                  </pic:nvPicPr>
                  <pic:blipFill rotWithShape="1">
                    <a:blip r:embed="rId5">
                      <a:extLst>
                        <a:ext uri="{28A0092B-C50C-407E-A947-70E740481C1C}">
                          <a14:useLocalDpi xmlns:a14="http://schemas.microsoft.com/office/drawing/2010/main" val="0"/>
                        </a:ext>
                      </a:extLst>
                    </a:blip>
                    <a:srcRect l="42012" t="44436" r="26612" b="31456"/>
                    <a:stretch/>
                  </pic:blipFill>
                  <pic:spPr bwMode="auto">
                    <a:xfrm>
                      <a:off x="0" y="0"/>
                      <a:ext cx="4841875" cy="2092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1B49D6" w14:textId="77777777" w:rsidR="000B1776" w:rsidRPr="00803C23" w:rsidRDefault="000B1776" w:rsidP="00803C23">
      <w:pPr>
        <w:contextualSpacing/>
        <w:rPr>
          <w:sz w:val="24"/>
          <w:szCs w:val="24"/>
        </w:rPr>
      </w:pPr>
    </w:p>
    <w:p w14:paraId="7A6222AA" w14:textId="77777777" w:rsidR="00887044" w:rsidRPr="00803C23" w:rsidRDefault="00887044" w:rsidP="00803C23">
      <w:pPr>
        <w:contextualSpacing/>
        <w:rPr>
          <w:sz w:val="24"/>
          <w:szCs w:val="24"/>
        </w:rPr>
      </w:pPr>
    </w:p>
    <w:p w14:paraId="1587BEB5" w14:textId="77777777" w:rsidR="00887044" w:rsidRPr="00803C23" w:rsidRDefault="00887044" w:rsidP="00803C23">
      <w:pPr>
        <w:contextualSpacing/>
        <w:rPr>
          <w:sz w:val="24"/>
          <w:szCs w:val="24"/>
        </w:rPr>
      </w:pPr>
    </w:p>
    <w:p w14:paraId="43CA91D2" w14:textId="77777777" w:rsidR="00887044" w:rsidRPr="00803C23" w:rsidRDefault="00887044" w:rsidP="00803C23">
      <w:pPr>
        <w:contextualSpacing/>
        <w:rPr>
          <w:sz w:val="24"/>
          <w:szCs w:val="24"/>
        </w:rPr>
      </w:pPr>
    </w:p>
    <w:p w14:paraId="03315505" w14:textId="77777777" w:rsidR="00887044" w:rsidRPr="00803C23" w:rsidRDefault="00887044" w:rsidP="00803C23">
      <w:pPr>
        <w:contextualSpacing/>
        <w:rPr>
          <w:sz w:val="24"/>
          <w:szCs w:val="24"/>
        </w:rPr>
      </w:pPr>
    </w:p>
    <w:p w14:paraId="460838BD" w14:textId="77777777" w:rsidR="00887044" w:rsidRPr="00803C23" w:rsidRDefault="00887044" w:rsidP="00803C23">
      <w:pPr>
        <w:contextualSpacing/>
        <w:rPr>
          <w:sz w:val="24"/>
          <w:szCs w:val="24"/>
        </w:rPr>
      </w:pPr>
    </w:p>
    <w:p w14:paraId="6DD5D83C" w14:textId="77777777" w:rsidR="00887044" w:rsidRPr="00803C23" w:rsidRDefault="00887044" w:rsidP="00803C23">
      <w:pPr>
        <w:contextualSpacing/>
        <w:rPr>
          <w:sz w:val="24"/>
          <w:szCs w:val="24"/>
        </w:rPr>
      </w:pPr>
    </w:p>
    <w:p w14:paraId="79E07DF8" w14:textId="77777777" w:rsidR="00887044" w:rsidRPr="00803C23" w:rsidRDefault="00887044" w:rsidP="00803C23">
      <w:pPr>
        <w:contextualSpacing/>
        <w:rPr>
          <w:sz w:val="24"/>
          <w:szCs w:val="24"/>
        </w:rPr>
      </w:pPr>
    </w:p>
    <w:p w14:paraId="1F047D30" w14:textId="77777777" w:rsidR="00887044" w:rsidRPr="00803C23" w:rsidRDefault="00887044" w:rsidP="00803C23">
      <w:pPr>
        <w:contextualSpacing/>
        <w:rPr>
          <w:sz w:val="24"/>
          <w:szCs w:val="24"/>
        </w:rPr>
      </w:pPr>
    </w:p>
    <w:p w14:paraId="57524AAA" w14:textId="77777777" w:rsidR="00887044" w:rsidRPr="00803C23" w:rsidRDefault="00887044" w:rsidP="00803C23">
      <w:pPr>
        <w:contextualSpacing/>
        <w:rPr>
          <w:sz w:val="24"/>
          <w:szCs w:val="24"/>
        </w:rPr>
      </w:pPr>
    </w:p>
    <w:p w14:paraId="30354E05" w14:textId="77777777" w:rsidR="00887044" w:rsidRPr="00803C23" w:rsidRDefault="00887044" w:rsidP="00803C23">
      <w:pPr>
        <w:contextualSpacing/>
        <w:rPr>
          <w:sz w:val="24"/>
          <w:szCs w:val="24"/>
        </w:rPr>
      </w:pPr>
    </w:p>
    <w:p w14:paraId="5953FC2D" w14:textId="77777777" w:rsidR="00887044" w:rsidRPr="00803C23" w:rsidRDefault="00887044" w:rsidP="00803C23">
      <w:pPr>
        <w:contextualSpacing/>
        <w:rPr>
          <w:sz w:val="24"/>
          <w:szCs w:val="24"/>
        </w:rPr>
      </w:pPr>
    </w:p>
    <w:p w14:paraId="05B5C976" w14:textId="77777777" w:rsidR="00887044" w:rsidRPr="00803C23" w:rsidRDefault="00887044" w:rsidP="00803C23">
      <w:pPr>
        <w:contextualSpacing/>
        <w:rPr>
          <w:sz w:val="24"/>
          <w:szCs w:val="24"/>
        </w:rPr>
      </w:pPr>
    </w:p>
    <w:p w14:paraId="2034081E" w14:textId="77777777" w:rsidR="00887044" w:rsidRPr="00803C23" w:rsidRDefault="00887044" w:rsidP="00803C23">
      <w:pPr>
        <w:contextualSpacing/>
        <w:rPr>
          <w:sz w:val="24"/>
          <w:szCs w:val="24"/>
        </w:rPr>
      </w:pPr>
    </w:p>
    <w:p w14:paraId="29D8F76B" w14:textId="77777777" w:rsidR="00887044" w:rsidRPr="00803C23" w:rsidRDefault="00887044" w:rsidP="00803C23">
      <w:pPr>
        <w:contextualSpacing/>
        <w:rPr>
          <w:sz w:val="24"/>
          <w:szCs w:val="24"/>
        </w:rPr>
      </w:pPr>
    </w:p>
    <w:p w14:paraId="18893C49" w14:textId="07282325" w:rsidR="000B1776" w:rsidRPr="00803C23" w:rsidRDefault="000B1776" w:rsidP="00803C23">
      <w:pPr>
        <w:contextualSpacing/>
        <w:rPr>
          <w:sz w:val="24"/>
          <w:szCs w:val="24"/>
        </w:rPr>
      </w:pPr>
      <w:r w:rsidRPr="00803C23">
        <w:rPr>
          <w:sz w:val="24"/>
          <w:szCs w:val="24"/>
        </w:rPr>
        <w:t>Scores were</w:t>
      </w:r>
    </w:p>
    <w:p w14:paraId="268DD278" w14:textId="77777777" w:rsidR="000B1776" w:rsidRPr="00803C23" w:rsidRDefault="000B1776" w:rsidP="00803C23">
      <w:pPr>
        <w:contextualSpacing/>
        <w:rPr>
          <w:sz w:val="24"/>
          <w:szCs w:val="24"/>
        </w:rPr>
      </w:pPr>
    </w:p>
    <w:p w14:paraId="2F55C261" w14:textId="5D34B4A1" w:rsidR="000B1776" w:rsidRPr="00803C23" w:rsidRDefault="000B1776" w:rsidP="00803C23">
      <w:pPr>
        <w:contextualSpacing/>
        <w:rPr>
          <w:sz w:val="24"/>
          <w:szCs w:val="24"/>
        </w:rPr>
      </w:pPr>
      <w:r w:rsidRPr="00803C23">
        <w:rPr>
          <w:noProof/>
          <w:sz w:val="24"/>
          <w:szCs w:val="24"/>
        </w:rPr>
        <w:lastRenderedPageBreak/>
        <w:drawing>
          <wp:inline distT="0" distB="0" distL="0" distR="0" wp14:anchorId="4A026AFD" wp14:editId="697AE8C1">
            <wp:extent cx="5028544" cy="2776220"/>
            <wp:effectExtent l="0" t="0" r="1270" b="5080"/>
            <wp:docPr id="2120815412" name="Picture 1" descr="A graph of a graph showing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15412" name="Picture 1" descr="A graph of a graph showing different colored bars&#10;&#10;Description automatically generated with medium confidence"/>
                    <pic:cNvPicPr/>
                  </pic:nvPicPr>
                  <pic:blipFill>
                    <a:blip r:embed="rId6"/>
                    <a:stretch>
                      <a:fillRect/>
                    </a:stretch>
                  </pic:blipFill>
                  <pic:spPr>
                    <a:xfrm>
                      <a:off x="0" y="0"/>
                      <a:ext cx="5029158" cy="2776559"/>
                    </a:xfrm>
                    <a:prstGeom prst="rect">
                      <a:avLst/>
                    </a:prstGeom>
                  </pic:spPr>
                </pic:pic>
              </a:graphicData>
            </a:graphic>
          </wp:inline>
        </w:drawing>
      </w:r>
    </w:p>
    <w:p w14:paraId="2101575F" w14:textId="77777777" w:rsidR="001044C7" w:rsidRPr="00803C23" w:rsidRDefault="001044C7" w:rsidP="00803C23">
      <w:pPr>
        <w:contextualSpacing/>
        <w:rPr>
          <w:sz w:val="24"/>
          <w:szCs w:val="24"/>
        </w:rPr>
      </w:pPr>
    </w:p>
    <w:p w14:paraId="64A16025" w14:textId="77777777" w:rsidR="000621EC" w:rsidRPr="00803C23" w:rsidRDefault="000621EC" w:rsidP="00803C23">
      <w:pPr>
        <w:spacing w:after="120"/>
        <w:rPr>
          <w:sz w:val="24"/>
          <w:szCs w:val="24"/>
        </w:rPr>
      </w:pPr>
      <w:r w:rsidRPr="00803C23">
        <w:rPr>
          <w:sz w:val="24"/>
          <w:szCs w:val="24"/>
        </w:rPr>
        <w:t>The results show that colleagues feel there is still developing work needed to take place in supporting staff with long term conditions at work and significant improvements needed to recommend the ICB as a place to work.</w:t>
      </w:r>
    </w:p>
    <w:p w14:paraId="1DF24F79" w14:textId="646AF680" w:rsidR="000621EC" w:rsidRPr="00803C23" w:rsidRDefault="000621EC" w:rsidP="00803C23">
      <w:pPr>
        <w:spacing w:after="120"/>
        <w:rPr>
          <w:sz w:val="24"/>
          <w:szCs w:val="24"/>
        </w:rPr>
      </w:pPr>
      <w:r w:rsidRPr="00803C23">
        <w:rPr>
          <w:sz w:val="24"/>
          <w:szCs w:val="24"/>
        </w:rPr>
        <w:t xml:space="preserve">There are positive results for </w:t>
      </w:r>
      <w:proofErr w:type="gramStart"/>
      <w:r w:rsidRPr="00803C23">
        <w:rPr>
          <w:sz w:val="24"/>
          <w:szCs w:val="24"/>
        </w:rPr>
        <w:t>the majority of</w:t>
      </w:r>
      <w:proofErr w:type="gramEnd"/>
      <w:r w:rsidRPr="00803C23">
        <w:rPr>
          <w:sz w:val="24"/>
          <w:szCs w:val="24"/>
        </w:rPr>
        <w:t xml:space="preserve"> colleagues needing access for support and advice for a range of well-being themes and is embedded into the organisations culture.</w:t>
      </w:r>
    </w:p>
    <w:p w14:paraId="73DF9B3D" w14:textId="77777777" w:rsidR="000621EC" w:rsidRPr="00803C23" w:rsidRDefault="000621EC" w:rsidP="00803C23">
      <w:pPr>
        <w:spacing w:after="120"/>
        <w:rPr>
          <w:sz w:val="24"/>
          <w:szCs w:val="24"/>
        </w:rPr>
      </w:pPr>
      <w:r w:rsidRPr="00803C23">
        <w:rPr>
          <w:sz w:val="24"/>
          <w:szCs w:val="24"/>
        </w:rPr>
        <w:t>The results show a mixed view from staff experiencing abuse at work.</w:t>
      </w:r>
    </w:p>
    <w:p w14:paraId="28E2AEE9" w14:textId="77777777" w:rsidR="000621EC" w:rsidRPr="00803C23" w:rsidRDefault="000621EC" w:rsidP="00803C23">
      <w:pPr>
        <w:spacing w:after="120"/>
        <w:rPr>
          <w:sz w:val="24"/>
          <w:szCs w:val="24"/>
        </w:rPr>
      </w:pPr>
    </w:p>
    <w:p w14:paraId="64535B89" w14:textId="3DAD3E8A" w:rsidR="000621EC" w:rsidRPr="00803C23" w:rsidRDefault="000621EC" w:rsidP="00803C23">
      <w:pPr>
        <w:spacing w:after="120"/>
        <w:rPr>
          <w:sz w:val="24"/>
          <w:szCs w:val="24"/>
        </w:rPr>
      </w:pPr>
      <w:r w:rsidRPr="00803C23">
        <w:rPr>
          <w:sz w:val="24"/>
          <w:szCs w:val="24"/>
        </w:rPr>
        <w:t xml:space="preserve">Feedback was sought from colleagues on what further improvements they would like to see to improve the effectiveness of these services. The information below provides an overview of the key feedback themes for each question. </w:t>
      </w:r>
    </w:p>
    <w:p w14:paraId="6CEB71A8" w14:textId="77777777" w:rsidR="000621EC" w:rsidRPr="00803C23" w:rsidRDefault="000621EC" w:rsidP="00803C23">
      <w:pPr>
        <w:rPr>
          <w:sz w:val="24"/>
          <w:szCs w:val="24"/>
        </w:rPr>
      </w:pPr>
    </w:p>
    <w:p w14:paraId="1F742089" w14:textId="77777777" w:rsidR="000621EC" w:rsidRPr="00803C23" w:rsidRDefault="000621EC" w:rsidP="00803C23">
      <w:pPr>
        <w:rPr>
          <w:sz w:val="24"/>
          <w:szCs w:val="24"/>
        </w:rPr>
      </w:pPr>
      <w:r w:rsidRPr="00803C23">
        <w:rPr>
          <w:sz w:val="24"/>
          <w:szCs w:val="24"/>
        </w:rPr>
        <w:t>Question 2A</w:t>
      </w:r>
    </w:p>
    <w:p w14:paraId="4510EDD4" w14:textId="77777777" w:rsidR="000621EC" w:rsidRPr="00803C23" w:rsidRDefault="000621EC" w:rsidP="00803C23">
      <w:pPr>
        <w:numPr>
          <w:ilvl w:val="0"/>
          <w:numId w:val="11"/>
        </w:numPr>
        <w:tabs>
          <w:tab w:val="num" w:pos="720"/>
        </w:tabs>
        <w:rPr>
          <w:sz w:val="24"/>
          <w:szCs w:val="24"/>
        </w:rPr>
      </w:pPr>
      <w:r w:rsidRPr="00803C23">
        <w:rPr>
          <w:sz w:val="24"/>
          <w:szCs w:val="24"/>
        </w:rPr>
        <w:t xml:space="preserve">Acknowledgement that a lot of well-being support is available to staff but is not necessarily visible or embedded in the organisation. </w:t>
      </w:r>
    </w:p>
    <w:p w14:paraId="3580B17D" w14:textId="3A450701" w:rsidR="000621EC" w:rsidRPr="00803C23" w:rsidRDefault="000621EC" w:rsidP="00803C23">
      <w:pPr>
        <w:numPr>
          <w:ilvl w:val="0"/>
          <w:numId w:val="11"/>
        </w:numPr>
        <w:tabs>
          <w:tab w:val="num" w:pos="720"/>
        </w:tabs>
        <w:rPr>
          <w:sz w:val="24"/>
          <w:szCs w:val="24"/>
        </w:rPr>
      </w:pPr>
      <w:r w:rsidRPr="00803C23">
        <w:rPr>
          <w:sz w:val="24"/>
          <w:szCs w:val="24"/>
        </w:rPr>
        <w:t>Variable line management experiences affect the way well-being offers are being communicated or made visible in local teams.</w:t>
      </w:r>
    </w:p>
    <w:p w14:paraId="2525C93A" w14:textId="77777777" w:rsidR="000621EC" w:rsidRPr="00803C23" w:rsidRDefault="000621EC" w:rsidP="00803C23">
      <w:pPr>
        <w:numPr>
          <w:ilvl w:val="0"/>
          <w:numId w:val="11"/>
        </w:numPr>
        <w:tabs>
          <w:tab w:val="num" w:pos="720"/>
        </w:tabs>
        <w:rPr>
          <w:sz w:val="24"/>
          <w:szCs w:val="24"/>
        </w:rPr>
      </w:pPr>
      <w:r w:rsidRPr="00803C23">
        <w:rPr>
          <w:sz w:val="24"/>
          <w:szCs w:val="24"/>
        </w:rPr>
        <w:t>Unless line managers buy into the vision of well-being as part of our culture then staff support and experience will remain variable.</w:t>
      </w:r>
    </w:p>
    <w:p w14:paraId="35A56E1E" w14:textId="77777777" w:rsidR="000621EC" w:rsidRPr="00803C23" w:rsidRDefault="000621EC" w:rsidP="00803C23">
      <w:pPr>
        <w:rPr>
          <w:sz w:val="24"/>
          <w:szCs w:val="24"/>
        </w:rPr>
      </w:pPr>
    </w:p>
    <w:p w14:paraId="267E49A5" w14:textId="77777777" w:rsidR="000621EC" w:rsidRPr="00803C23" w:rsidRDefault="000621EC" w:rsidP="00803C23">
      <w:pPr>
        <w:rPr>
          <w:sz w:val="24"/>
          <w:szCs w:val="24"/>
        </w:rPr>
      </w:pPr>
      <w:r w:rsidRPr="00803C23">
        <w:rPr>
          <w:sz w:val="24"/>
          <w:szCs w:val="24"/>
        </w:rPr>
        <w:t>Question 2B</w:t>
      </w:r>
    </w:p>
    <w:p w14:paraId="55DC0320" w14:textId="77777777" w:rsidR="000621EC" w:rsidRPr="00803C23" w:rsidRDefault="000621EC" w:rsidP="00803C23">
      <w:pPr>
        <w:numPr>
          <w:ilvl w:val="0"/>
          <w:numId w:val="12"/>
        </w:numPr>
        <w:tabs>
          <w:tab w:val="num" w:pos="720"/>
        </w:tabs>
        <w:rPr>
          <w:sz w:val="24"/>
          <w:szCs w:val="24"/>
        </w:rPr>
      </w:pPr>
      <w:r w:rsidRPr="00803C23">
        <w:rPr>
          <w:sz w:val="24"/>
          <w:szCs w:val="24"/>
        </w:rPr>
        <w:t>Unacceptable behaviour from colleagues in the system towards ICB staff was identified as a theme that needed addressing.</w:t>
      </w:r>
    </w:p>
    <w:p w14:paraId="7470C7B3" w14:textId="77777777" w:rsidR="000621EC" w:rsidRPr="00803C23" w:rsidRDefault="000621EC" w:rsidP="00803C23">
      <w:pPr>
        <w:numPr>
          <w:ilvl w:val="0"/>
          <w:numId w:val="12"/>
        </w:numPr>
        <w:tabs>
          <w:tab w:val="num" w:pos="720"/>
        </w:tabs>
        <w:rPr>
          <w:sz w:val="24"/>
          <w:szCs w:val="24"/>
        </w:rPr>
      </w:pPr>
      <w:r w:rsidRPr="00803C23">
        <w:rPr>
          <w:sz w:val="24"/>
          <w:szCs w:val="24"/>
        </w:rPr>
        <w:t>Line managers need to create a psychologically safe environment to allow staff to speak up and avoid bullying.</w:t>
      </w:r>
    </w:p>
    <w:p w14:paraId="60D03E33" w14:textId="77777777" w:rsidR="000621EC" w:rsidRPr="00803C23" w:rsidRDefault="000621EC" w:rsidP="00803C23">
      <w:pPr>
        <w:rPr>
          <w:sz w:val="24"/>
          <w:szCs w:val="24"/>
        </w:rPr>
      </w:pPr>
    </w:p>
    <w:p w14:paraId="2FEF0724" w14:textId="77777777" w:rsidR="000621EC" w:rsidRPr="00803C23" w:rsidRDefault="000621EC" w:rsidP="00803C23">
      <w:pPr>
        <w:rPr>
          <w:sz w:val="24"/>
          <w:szCs w:val="24"/>
        </w:rPr>
      </w:pPr>
      <w:r w:rsidRPr="00803C23">
        <w:rPr>
          <w:sz w:val="24"/>
          <w:szCs w:val="24"/>
        </w:rPr>
        <w:t>Question 2C</w:t>
      </w:r>
    </w:p>
    <w:p w14:paraId="7FF1B708" w14:textId="77777777" w:rsidR="000621EC" w:rsidRPr="00803C23" w:rsidRDefault="000621EC" w:rsidP="00803C23">
      <w:pPr>
        <w:pStyle w:val="ListParagraph"/>
        <w:numPr>
          <w:ilvl w:val="0"/>
          <w:numId w:val="13"/>
        </w:numPr>
        <w:contextualSpacing/>
        <w:rPr>
          <w:sz w:val="24"/>
          <w:szCs w:val="24"/>
        </w:rPr>
      </w:pPr>
      <w:r w:rsidRPr="00803C23">
        <w:rPr>
          <w:sz w:val="24"/>
          <w:szCs w:val="24"/>
        </w:rPr>
        <w:t>Support services feel embedded in the organisation</w:t>
      </w:r>
    </w:p>
    <w:p w14:paraId="7707AEA1" w14:textId="77777777" w:rsidR="000621EC" w:rsidRPr="00803C23" w:rsidRDefault="000621EC" w:rsidP="00803C23">
      <w:pPr>
        <w:pStyle w:val="ListParagraph"/>
        <w:numPr>
          <w:ilvl w:val="0"/>
          <w:numId w:val="13"/>
        </w:numPr>
        <w:contextualSpacing/>
        <w:rPr>
          <w:sz w:val="24"/>
          <w:szCs w:val="24"/>
        </w:rPr>
      </w:pPr>
      <w:r w:rsidRPr="00803C23">
        <w:rPr>
          <w:sz w:val="24"/>
          <w:szCs w:val="24"/>
        </w:rPr>
        <w:t>Unacceptable external partner behaviours are an ongoing source of stress.</w:t>
      </w:r>
    </w:p>
    <w:p w14:paraId="7CC35916" w14:textId="052A8729" w:rsidR="000621EC" w:rsidRPr="00803C23" w:rsidRDefault="000621EC" w:rsidP="00803C23">
      <w:pPr>
        <w:numPr>
          <w:ilvl w:val="0"/>
          <w:numId w:val="11"/>
        </w:numPr>
        <w:tabs>
          <w:tab w:val="num" w:pos="720"/>
        </w:tabs>
        <w:rPr>
          <w:sz w:val="24"/>
          <w:szCs w:val="24"/>
        </w:rPr>
      </w:pPr>
      <w:r w:rsidRPr="00803C23">
        <w:rPr>
          <w:sz w:val="24"/>
          <w:szCs w:val="24"/>
        </w:rPr>
        <w:t>Variable line management experiences affect the way well-being offers are being communicated or made visible in local teams.</w:t>
      </w:r>
    </w:p>
    <w:p w14:paraId="6D3D91E8" w14:textId="77777777" w:rsidR="000621EC" w:rsidRPr="00803C23" w:rsidRDefault="000621EC" w:rsidP="00803C23">
      <w:pPr>
        <w:rPr>
          <w:sz w:val="24"/>
          <w:szCs w:val="24"/>
        </w:rPr>
      </w:pPr>
    </w:p>
    <w:p w14:paraId="6E13674A" w14:textId="77777777" w:rsidR="000621EC" w:rsidRPr="00803C23" w:rsidRDefault="000621EC" w:rsidP="00803C23">
      <w:pPr>
        <w:rPr>
          <w:sz w:val="24"/>
          <w:szCs w:val="24"/>
        </w:rPr>
      </w:pPr>
      <w:r w:rsidRPr="00803C23">
        <w:rPr>
          <w:sz w:val="24"/>
          <w:szCs w:val="24"/>
        </w:rPr>
        <w:t>Question 2D</w:t>
      </w:r>
    </w:p>
    <w:p w14:paraId="796E8561" w14:textId="77777777" w:rsidR="000621EC" w:rsidRPr="00803C23" w:rsidRDefault="000621EC" w:rsidP="00803C23">
      <w:pPr>
        <w:pStyle w:val="ListParagraph"/>
        <w:numPr>
          <w:ilvl w:val="0"/>
          <w:numId w:val="11"/>
        </w:numPr>
        <w:contextualSpacing/>
        <w:rPr>
          <w:sz w:val="24"/>
          <w:szCs w:val="24"/>
        </w:rPr>
      </w:pPr>
      <w:r w:rsidRPr="00803C23">
        <w:rPr>
          <w:sz w:val="24"/>
          <w:szCs w:val="24"/>
        </w:rPr>
        <w:t>The organisation feels fragile after the restructure and is constantly firefighting.</w:t>
      </w:r>
    </w:p>
    <w:p w14:paraId="1FFFD20D" w14:textId="77777777" w:rsidR="000621EC" w:rsidRPr="00803C23" w:rsidRDefault="000621EC" w:rsidP="00803C23">
      <w:pPr>
        <w:pStyle w:val="ListParagraph"/>
        <w:numPr>
          <w:ilvl w:val="0"/>
          <w:numId w:val="11"/>
        </w:numPr>
        <w:contextualSpacing/>
        <w:rPr>
          <w:sz w:val="24"/>
          <w:szCs w:val="24"/>
        </w:rPr>
      </w:pPr>
      <w:r w:rsidRPr="00803C23">
        <w:rPr>
          <w:sz w:val="24"/>
          <w:szCs w:val="24"/>
        </w:rPr>
        <w:t>Significant and constant change from the Government and NHSE.</w:t>
      </w:r>
    </w:p>
    <w:p w14:paraId="342A0148" w14:textId="77777777" w:rsidR="000621EC" w:rsidRPr="00803C23" w:rsidRDefault="000621EC" w:rsidP="00803C23">
      <w:pPr>
        <w:pStyle w:val="ListParagraph"/>
        <w:numPr>
          <w:ilvl w:val="0"/>
          <w:numId w:val="11"/>
        </w:numPr>
        <w:contextualSpacing/>
        <w:rPr>
          <w:sz w:val="24"/>
          <w:szCs w:val="24"/>
        </w:rPr>
      </w:pPr>
      <w:r w:rsidRPr="00803C23">
        <w:rPr>
          <w:sz w:val="24"/>
          <w:szCs w:val="24"/>
        </w:rPr>
        <w:t>Colleagues feeling disempowered by line managers.</w:t>
      </w:r>
    </w:p>
    <w:p w14:paraId="4A8008B6" w14:textId="77777777" w:rsidR="000621EC" w:rsidRPr="00803C23" w:rsidRDefault="000621EC" w:rsidP="00803C23">
      <w:pPr>
        <w:pStyle w:val="ListParagraph"/>
        <w:numPr>
          <w:ilvl w:val="0"/>
          <w:numId w:val="11"/>
        </w:numPr>
        <w:contextualSpacing/>
        <w:rPr>
          <w:sz w:val="24"/>
          <w:szCs w:val="24"/>
        </w:rPr>
      </w:pPr>
      <w:r w:rsidRPr="00803C23">
        <w:rPr>
          <w:sz w:val="24"/>
          <w:szCs w:val="24"/>
        </w:rPr>
        <w:t>Long decision making, risk aversion and over complicated governance arrangements</w:t>
      </w:r>
    </w:p>
    <w:p w14:paraId="2CDB1AFD" w14:textId="77777777" w:rsidR="000621EC" w:rsidRPr="00803C23" w:rsidRDefault="000621EC" w:rsidP="00803C23">
      <w:pPr>
        <w:pStyle w:val="ListParagraph"/>
        <w:numPr>
          <w:ilvl w:val="0"/>
          <w:numId w:val="11"/>
        </w:numPr>
        <w:contextualSpacing/>
        <w:rPr>
          <w:sz w:val="24"/>
          <w:szCs w:val="24"/>
        </w:rPr>
      </w:pPr>
      <w:r w:rsidRPr="00803C23">
        <w:rPr>
          <w:sz w:val="24"/>
          <w:szCs w:val="24"/>
        </w:rPr>
        <w:t>Perceptions of merging with Nottingham ICB.</w:t>
      </w:r>
    </w:p>
    <w:p w14:paraId="6CA732D3" w14:textId="77777777" w:rsidR="000621EC" w:rsidRPr="00803C23" w:rsidRDefault="000621EC" w:rsidP="00803C23">
      <w:pPr>
        <w:rPr>
          <w:sz w:val="24"/>
          <w:szCs w:val="24"/>
        </w:rPr>
      </w:pPr>
    </w:p>
    <w:p w14:paraId="6F7CC1AB" w14:textId="77777777" w:rsidR="00887044" w:rsidRPr="00803C23" w:rsidRDefault="00887044" w:rsidP="00803C23">
      <w:pPr>
        <w:contextualSpacing/>
        <w:rPr>
          <w:sz w:val="24"/>
          <w:szCs w:val="24"/>
        </w:rPr>
      </w:pPr>
    </w:p>
    <w:p w14:paraId="5EAD60EE" w14:textId="77777777" w:rsidR="000621EC" w:rsidRPr="00803C23" w:rsidRDefault="000621EC" w:rsidP="00803C23">
      <w:pPr>
        <w:contextualSpacing/>
        <w:rPr>
          <w:sz w:val="24"/>
          <w:szCs w:val="24"/>
        </w:rPr>
      </w:pPr>
    </w:p>
    <w:p w14:paraId="50655AE8" w14:textId="77777777" w:rsidR="000B1776" w:rsidRPr="00803C23" w:rsidRDefault="000B1776" w:rsidP="00803C23">
      <w:pPr>
        <w:rPr>
          <w:b/>
          <w:bCs/>
          <w:sz w:val="24"/>
          <w:szCs w:val="24"/>
        </w:rPr>
      </w:pPr>
      <w:r w:rsidRPr="00803C23">
        <w:rPr>
          <w:b/>
          <w:bCs/>
          <w:sz w:val="24"/>
          <w:szCs w:val="24"/>
        </w:rPr>
        <w:t>Summary and next steps</w:t>
      </w:r>
    </w:p>
    <w:p w14:paraId="5B5D56CA" w14:textId="77777777" w:rsidR="000B1776" w:rsidRPr="00803C23" w:rsidRDefault="000B1776" w:rsidP="00803C23">
      <w:pPr>
        <w:rPr>
          <w:sz w:val="24"/>
          <w:szCs w:val="24"/>
        </w:rPr>
      </w:pPr>
    </w:p>
    <w:p w14:paraId="26D75B6D" w14:textId="3ECC66AB" w:rsidR="000B1776" w:rsidRPr="00803C23" w:rsidRDefault="000B1776" w:rsidP="00803C23">
      <w:pPr>
        <w:contextualSpacing/>
        <w:rPr>
          <w:sz w:val="24"/>
          <w:szCs w:val="24"/>
        </w:rPr>
      </w:pPr>
      <w:r w:rsidRPr="00803C23">
        <w:rPr>
          <w:sz w:val="24"/>
          <w:szCs w:val="24"/>
        </w:rPr>
        <w:t>The scores from this engagement process have fed into the ICB's overall EDS2 rating which legally has to be published on the ICBs public website by 28</w:t>
      </w:r>
      <w:r w:rsidRPr="00803C23">
        <w:rPr>
          <w:sz w:val="24"/>
          <w:szCs w:val="24"/>
          <w:vertAlign w:val="superscript"/>
        </w:rPr>
        <w:t>th</w:t>
      </w:r>
      <w:r w:rsidRPr="00803C23">
        <w:rPr>
          <w:sz w:val="24"/>
          <w:szCs w:val="24"/>
        </w:rPr>
        <w:t xml:space="preserve"> February.</w:t>
      </w:r>
    </w:p>
    <w:p w14:paraId="16D662C4" w14:textId="77777777" w:rsidR="000B1776" w:rsidRPr="00803C23" w:rsidRDefault="000B1776" w:rsidP="00803C23">
      <w:pPr>
        <w:contextualSpacing/>
        <w:rPr>
          <w:sz w:val="24"/>
          <w:szCs w:val="24"/>
        </w:rPr>
      </w:pPr>
    </w:p>
    <w:p w14:paraId="2EDB287C" w14:textId="64685004" w:rsidR="000B1776" w:rsidRPr="00803C23" w:rsidRDefault="000B1776" w:rsidP="00803C23">
      <w:pPr>
        <w:contextualSpacing/>
        <w:rPr>
          <w:sz w:val="24"/>
          <w:szCs w:val="24"/>
        </w:rPr>
      </w:pPr>
      <w:r w:rsidRPr="00803C23">
        <w:rPr>
          <w:sz w:val="24"/>
          <w:szCs w:val="24"/>
        </w:rPr>
        <w:t>The feedback will be used to create an action plan which will align to the wider ICB OD plan aimed at creating an inclusive and compassionate culture and making the ICB an even better place to work.</w:t>
      </w:r>
    </w:p>
    <w:p w14:paraId="45D1F656" w14:textId="77777777" w:rsidR="005A3F97" w:rsidRPr="00803C23" w:rsidRDefault="005A3F97" w:rsidP="00803C23">
      <w:pPr>
        <w:contextualSpacing/>
        <w:rPr>
          <w:sz w:val="24"/>
          <w:szCs w:val="24"/>
        </w:rPr>
      </w:pPr>
    </w:p>
    <w:p w14:paraId="28ACE641" w14:textId="4972C199" w:rsidR="000B1776" w:rsidRPr="00803C23" w:rsidRDefault="005A3F97" w:rsidP="00803C23">
      <w:pPr>
        <w:contextualSpacing/>
        <w:rPr>
          <w:sz w:val="24"/>
          <w:szCs w:val="24"/>
        </w:rPr>
      </w:pPr>
      <w:r w:rsidRPr="00803C23">
        <w:rPr>
          <w:sz w:val="24"/>
          <w:szCs w:val="24"/>
        </w:rPr>
        <w:t>The d</w:t>
      </w:r>
      <w:r w:rsidR="000B1776" w:rsidRPr="00803C23">
        <w:rPr>
          <w:sz w:val="24"/>
          <w:szCs w:val="24"/>
        </w:rPr>
        <w:t>evelopment of th</w:t>
      </w:r>
      <w:r w:rsidRPr="00803C23">
        <w:rPr>
          <w:sz w:val="24"/>
          <w:szCs w:val="24"/>
        </w:rPr>
        <w:t xml:space="preserve">e </w:t>
      </w:r>
      <w:r w:rsidR="000B1776" w:rsidRPr="00803C23">
        <w:rPr>
          <w:sz w:val="24"/>
          <w:szCs w:val="24"/>
        </w:rPr>
        <w:t xml:space="preserve">action plan will be supported by </w:t>
      </w:r>
      <w:r w:rsidRPr="00803C23">
        <w:rPr>
          <w:sz w:val="24"/>
          <w:szCs w:val="24"/>
        </w:rPr>
        <w:t xml:space="preserve">the ICB </w:t>
      </w:r>
      <w:r w:rsidR="000B1776" w:rsidRPr="00803C23">
        <w:rPr>
          <w:sz w:val="24"/>
          <w:szCs w:val="24"/>
        </w:rPr>
        <w:t>D</w:t>
      </w:r>
      <w:r w:rsidRPr="00803C23">
        <w:rPr>
          <w:sz w:val="24"/>
          <w:szCs w:val="24"/>
        </w:rPr>
        <w:t xml:space="preserve">iversity and </w:t>
      </w:r>
      <w:r w:rsidR="000B1776" w:rsidRPr="00803C23">
        <w:rPr>
          <w:sz w:val="24"/>
          <w:szCs w:val="24"/>
        </w:rPr>
        <w:t>I</w:t>
      </w:r>
      <w:r w:rsidRPr="00803C23">
        <w:rPr>
          <w:sz w:val="24"/>
          <w:szCs w:val="24"/>
        </w:rPr>
        <w:t xml:space="preserve">nclusion </w:t>
      </w:r>
      <w:r w:rsidR="000B1776" w:rsidRPr="00803C23">
        <w:rPr>
          <w:sz w:val="24"/>
          <w:szCs w:val="24"/>
        </w:rPr>
        <w:t>N</w:t>
      </w:r>
      <w:r w:rsidRPr="00803C23">
        <w:rPr>
          <w:sz w:val="24"/>
          <w:szCs w:val="24"/>
        </w:rPr>
        <w:t>etwork</w:t>
      </w:r>
      <w:r w:rsidR="000B1776" w:rsidRPr="00803C23">
        <w:rPr>
          <w:sz w:val="24"/>
          <w:szCs w:val="24"/>
        </w:rPr>
        <w:t xml:space="preserve"> and OEIG with regular updates to the Executive Team.</w:t>
      </w:r>
    </w:p>
    <w:p w14:paraId="1D3E4F8A" w14:textId="77777777" w:rsidR="004139AA" w:rsidRPr="00803C23" w:rsidRDefault="004139AA" w:rsidP="00803C23">
      <w:pPr>
        <w:rPr>
          <w:sz w:val="24"/>
          <w:szCs w:val="24"/>
        </w:rPr>
      </w:pPr>
    </w:p>
    <w:sectPr w:rsidR="004139AA" w:rsidRPr="0080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55 Roman">
    <w:altName w:val="Arial"/>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2ED"/>
    <w:multiLevelType w:val="hybridMultilevel"/>
    <w:tmpl w:val="10341A30"/>
    <w:lvl w:ilvl="0" w:tplc="0160121A">
      <w:start w:val="1"/>
      <w:numFmt w:val="bullet"/>
      <w:lvlText w:val="•"/>
      <w:lvlJc w:val="left"/>
      <w:pPr>
        <w:tabs>
          <w:tab w:val="num" w:pos="360"/>
        </w:tabs>
        <w:ind w:left="360" w:hanging="360"/>
      </w:pPr>
      <w:rPr>
        <w:rFonts w:ascii="Arial" w:hAnsi="Arial" w:hint="default"/>
      </w:rPr>
    </w:lvl>
    <w:lvl w:ilvl="1" w:tplc="B91CDDAE" w:tentative="1">
      <w:start w:val="1"/>
      <w:numFmt w:val="bullet"/>
      <w:lvlText w:val="•"/>
      <w:lvlJc w:val="left"/>
      <w:pPr>
        <w:tabs>
          <w:tab w:val="num" w:pos="1080"/>
        </w:tabs>
        <w:ind w:left="1080" w:hanging="360"/>
      </w:pPr>
      <w:rPr>
        <w:rFonts w:ascii="Arial" w:hAnsi="Arial" w:hint="default"/>
      </w:rPr>
    </w:lvl>
    <w:lvl w:ilvl="2" w:tplc="EDB86942" w:tentative="1">
      <w:start w:val="1"/>
      <w:numFmt w:val="bullet"/>
      <w:lvlText w:val="•"/>
      <w:lvlJc w:val="left"/>
      <w:pPr>
        <w:tabs>
          <w:tab w:val="num" w:pos="1800"/>
        </w:tabs>
        <w:ind w:left="1800" w:hanging="360"/>
      </w:pPr>
      <w:rPr>
        <w:rFonts w:ascii="Arial" w:hAnsi="Arial" w:hint="default"/>
      </w:rPr>
    </w:lvl>
    <w:lvl w:ilvl="3" w:tplc="6938E024" w:tentative="1">
      <w:start w:val="1"/>
      <w:numFmt w:val="bullet"/>
      <w:lvlText w:val="•"/>
      <w:lvlJc w:val="left"/>
      <w:pPr>
        <w:tabs>
          <w:tab w:val="num" w:pos="2520"/>
        </w:tabs>
        <w:ind w:left="2520" w:hanging="360"/>
      </w:pPr>
      <w:rPr>
        <w:rFonts w:ascii="Arial" w:hAnsi="Arial" w:hint="default"/>
      </w:rPr>
    </w:lvl>
    <w:lvl w:ilvl="4" w:tplc="6366CAC4" w:tentative="1">
      <w:start w:val="1"/>
      <w:numFmt w:val="bullet"/>
      <w:lvlText w:val="•"/>
      <w:lvlJc w:val="left"/>
      <w:pPr>
        <w:tabs>
          <w:tab w:val="num" w:pos="3240"/>
        </w:tabs>
        <w:ind w:left="3240" w:hanging="360"/>
      </w:pPr>
      <w:rPr>
        <w:rFonts w:ascii="Arial" w:hAnsi="Arial" w:hint="default"/>
      </w:rPr>
    </w:lvl>
    <w:lvl w:ilvl="5" w:tplc="52003CF6" w:tentative="1">
      <w:start w:val="1"/>
      <w:numFmt w:val="bullet"/>
      <w:lvlText w:val="•"/>
      <w:lvlJc w:val="left"/>
      <w:pPr>
        <w:tabs>
          <w:tab w:val="num" w:pos="3960"/>
        </w:tabs>
        <w:ind w:left="3960" w:hanging="360"/>
      </w:pPr>
      <w:rPr>
        <w:rFonts w:ascii="Arial" w:hAnsi="Arial" w:hint="default"/>
      </w:rPr>
    </w:lvl>
    <w:lvl w:ilvl="6" w:tplc="08D41734" w:tentative="1">
      <w:start w:val="1"/>
      <w:numFmt w:val="bullet"/>
      <w:lvlText w:val="•"/>
      <w:lvlJc w:val="left"/>
      <w:pPr>
        <w:tabs>
          <w:tab w:val="num" w:pos="4680"/>
        </w:tabs>
        <w:ind w:left="4680" w:hanging="360"/>
      </w:pPr>
      <w:rPr>
        <w:rFonts w:ascii="Arial" w:hAnsi="Arial" w:hint="default"/>
      </w:rPr>
    </w:lvl>
    <w:lvl w:ilvl="7" w:tplc="6742F05E" w:tentative="1">
      <w:start w:val="1"/>
      <w:numFmt w:val="bullet"/>
      <w:lvlText w:val="•"/>
      <w:lvlJc w:val="left"/>
      <w:pPr>
        <w:tabs>
          <w:tab w:val="num" w:pos="5400"/>
        </w:tabs>
        <w:ind w:left="5400" w:hanging="360"/>
      </w:pPr>
      <w:rPr>
        <w:rFonts w:ascii="Arial" w:hAnsi="Arial" w:hint="default"/>
      </w:rPr>
    </w:lvl>
    <w:lvl w:ilvl="8" w:tplc="D776708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44E0BD9"/>
    <w:multiLevelType w:val="multilevel"/>
    <w:tmpl w:val="3BE8B90E"/>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2986" w:hanging="576"/>
      </w:pPr>
      <w:rPr>
        <w:rFonts w:hint="default"/>
      </w:rPr>
    </w:lvl>
    <w:lvl w:ilvl="2">
      <w:start w:val="1"/>
      <w:numFmt w:val="decimal"/>
      <w:pStyle w:val="Heading3"/>
      <w:lvlText w:val="%1.%2.%3"/>
      <w:lvlJc w:val="left"/>
      <w:pPr>
        <w:ind w:left="3130" w:hanging="720"/>
      </w:pPr>
      <w:rPr>
        <w:rFonts w:hint="default"/>
      </w:rPr>
    </w:lvl>
    <w:lvl w:ilvl="3">
      <w:start w:val="1"/>
      <w:numFmt w:val="decimal"/>
      <w:pStyle w:val="Heading4"/>
      <w:lvlText w:val="%1.%2.%3.%4"/>
      <w:lvlJc w:val="left"/>
      <w:pPr>
        <w:ind w:left="3274" w:hanging="864"/>
      </w:pPr>
      <w:rPr>
        <w:rFonts w:hint="default"/>
      </w:rPr>
    </w:lvl>
    <w:lvl w:ilvl="4">
      <w:start w:val="1"/>
      <w:numFmt w:val="decimal"/>
      <w:pStyle w:val="Heading5"/>
      <w:lvlText w:val="%1.%2.%3.%4.%5"/>
      <w:lvlJc w:val="left"/>
      <w:pPr>
        <w:ind w:left="3418" w:hanging="1008"/>
      </w:pPr>
      <w:rPr>
        <w:rFonts w:hint="default"/>
      </w:rPr>
    </w:lvl>
    <w:lvl w:ilvl="5">
      <w:start w:val="1"/>
      <w:numFmt w:val="decimal"/>
      <w:pStyle w:val="Heading6"/>
      <w:lvlText w:val="%1.%2.%3.%4.%5.%6"/>
      <w:lvlJc w:val="left"/>
      <w:pPr>
        <w:ind w:left="3562" w:hanging="1152"/>
      </w:pPr>
      <w:rPr>
        <w:rFonts w:hint="default"/>
      </w:rPr>
    </w:lvl>
    <w:lvl w:ilvl="6">
      <w:start w:val="1"/>
      <w:numFmt w:val="decimal"/>
      <w:pStyle w:val="Heading7"/>
      <w:lvlText w:val="%1.%2.%3.%4.%5.%6.%7"/>
      <w:lvlJc w:val="left"/>
      <w:pPr>
        <w:ind w:left="3706" w:hanging="1296"/>
      </w:pPr>
      <w:rPr>
        <w:rFonts w:hint="default"/>
      </w:rPr>
    </w:lvl>
    <w:lvl w:ilvl="7">
      <w:start w:val="1"/>
      <w:numFmt w:val="decimal"/>
      <w:pStyle w:val="Heading8"/>
      <w:lvlText w:val="%1.%2.%3.%4.%5.%6.%7.%8"/>
      <w:lvlJc w:val="left"/>
      <w:pPr>
        <w:ind w:left="3850" w:hanging="1440"/>
      </w:pPr>
      <w:rPr>
        <w:rFonts w:hint="default"/>
      </w:rPr>
    </w:lvl>
    <w:lvl w:ilvl="8">
      <w:start w:val="1"/>
      <w:numFmt w:val="decimal"/>
      <w:pStyle w:val="Heading9"/>
      <w:lvlText w:val="%1.%2.%3.%4.%5.%6.%7.%8.%9"/>
      <w:lvlJc w:val="left"/>
      <w:pPr>
        <w:ind w:left="3994" w:hanging="1584"/>
      </w:pPr>
      <w:rPr>
        <w:rFonts w:hint="default"/>
      </w:rPr>
    </w:lvl>
  </w:abstractNum>
  <w:abstractNum w:abstractNumId="2" w15:restartNumberingAfterBreak="0">
    <w:nsid w:val="4B15268F"/>
    <w:multiLevelType w:val="hybridMultilevel"/>
    <w:tmpl w:val="58066DE4"/>
    <w:lvl w:ilvl="0" w:tplc="63285E02">
      <w:start w:val="1"/>
      <w:numFmt w:val="bullet"/>
      <w:lvlText w:val="•"/>
      <w:lvlJc w:val="left"/>
      <w:pPr>
        <w:tabs>
          <w:tab w:val="num" w:pos="360"/>
        </w:tabs>
        <w:ind w:left="360" w:hanging="360"/>
      </w:pPr>
      <w:rPr>
        <w:rFonts w:ascii="Arial" w:hAnsi="Arial" w:hint="default"/>
      </w:rPr>
    </w:lvl>
    <w:lvl w:ilvl="1" w:tplc="F488BD4E" w:tentative="1">
      <w:start w:val="1"/>
      <w:numFmt w:val="bullet"/>
      <w:lvlText w:val="•"/>
      <w:lvlJc w:val="left"/>
      <w:pPr>
        <w:tabs>
          <w:tab w:val="num" w:pos="1080"/>
        </w:tabs>
        <w:ind w:left="1080" w:hanging="360"/>
      </w:pPr>
      <w:rPr>
        <w:rFonts w:ascii="Arial" w:hAnsi="Arial" w:hint="default"/>
      </w:rPr>
    </w:lvl>
    <w:lvl w:ilvl="2" w:tplc="FCA019E0" w:tentative="1">
      <w:start w:val="1"/>
      <w:numFmt w:val="bullet"/>
      <w:lvlText w:val="•"/>
      <w:lvlJc w:val="left"/>
      <w:pPr>
        <w:tabs>
          <w:tab w:val="num" w:pos="1800"/>
        </w:tabs>
        <w:ind w:left="1800" w:hanging="360"/>
      </w:pPr>
      <w:rPr>
        <w:rFonts w:ascii="Arial" w:hAnsi="Arial" w:hint="default"/>
      </w:rPr>
    </w:lvl>
    <w:lvl w:ilvl="3" w:tplc="EF507DB4" w:tentative="1">
      <w:start w:val="1"/>
      <w:numFmt w:val="bullet"/>
      <w:lvlText w:val="•"/>
      <w:lvlJc w:val="left"/>
      <w:pPr>
        <w:tabs>
          <w:tab w:val="num" w:pos="2520"/>
        </w:tabs>
        <w:ind w:left="2520" w:hanging="360"/>
      </w:pPr>
      <w:rPr>
        <w:rFonts w:ascii="Arial" w:hAnsi="Arial" w:hint="default"/>
      </w:rPr>
    </w:lvl>
    <w:lvl w:ilvl="4" w:tplc="C29C50F4" w:tentative="1">
      <w:start w:val="1"/>
      <w:numFmt w:val="bullet"/>
      <w:lvlText w:val="•"/>
      <w:lvlJc w:val="left"/>
      <w:pPr>
        <w:tabs>
          <w:tab w:val="num" w:pos="3240"/>
        </w:tabs>
        <w:ind w:left="3240" w:hanging="360"/>
      </w:pPr>
      <w:rPr>
        <w:rFonts w:ascii="Arial" w:hAnsi="Arial" w:hint="default"/>
      </w:rPr>
    </w:lvl>
    <w:lvl w:ilvl="5" w:tplc="164A5EAE" w:tentative="1">
      <w:start w:val="1"/>
      <w:numFmt w:val="bullet"/>
      <w:lvlText w:val="•"/>
      <w:lvlJc w:val="left"/>
      <w:pPr>
        <w:tabs>
          <w:tab w:val="num" w:pos="3960"/>
        </w:tabs>
        <w:ind w:left="3960" w:hanging="360"/>
      </w:pPr>
      <w:rPr>
        <w:rFonts w:ascii="Arial" w:hAnsi="Arial" w:hint="default"/>
      </w:rPr>
    </w:lvl>
    <w:lvl w:ilvl="6" w:tplc="C95C62BA" w:tentative="1">
      <w:start w:val="1"/>
      <w:numFmt w:val="bullet"/>
      <w:lvlText w:val="•"/>
      <w:lvlJc w:val="left"/>
      <w:pPr>
        <w:tabs>
          <w:tab w:val="num" w:pos="4680"/>
        </w:tabs>
        <w:ind w:left="4680" w:hanging="360"/>
      </w:pPr>
      <w:rPr>
        <w:rFonts w:ascii="Arial" w:hAnsi="Arial" w:hint="default"/>
      </w:rPr>
    </w:lvl>
    <w:lvl w:ilvl="7" w:tplc="E3327A12" w:tentative="1">
      <w:start w:val="1"/>
      <w:numFmt w:val="bullet"/>
      <w:lvlText w:val="•"/>
      <w:lvlJc w:val="left"/>
      <w:pPr>
        <w:tabs>
          <w:tab w:val="num" w:pos="5400"/>
        </w:tabs>
        <w:ind w:left="5400" w:hanging="360"/>
      </w:pPr>
      <w:rPr>
        <w:rFonts w:ascii="Arial" w:hAnsi="Arial" w:hint="default"/>
      </w:rPr>
    </w:lvl>
    <w:lvl w:ilvl="8" w:tplc="6C94D96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D3B7A7E"/>
    <w:multiLevelType w:val="hybridMultilevel"/>
    <w:tmpl w:val="49E64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253270"/>
    <w:multiLevelType w:val="hybridMultilevel"/>
    <w:tmpl w:val="683A167E"/>
    <w:lvl w:ilvl="0" w:tplc="63285E0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850933">
    <w:abstractNumId w:val="1"/>
  </w:num>
  <w:num w:numId="2" w16cid:durableId="965238512">
    <w:abstractNumId w:val="1"/>
  </w:num>
  <w:num w:numId="3" w16cid:durableId="1495293525">
    <w:abstractNumId w:val="1"/>
  </w:num>
  <w:num w:numId="4" w16cid:durableId="69623094">
    <w:abstractNumId w:val="1"/>
  </w:num>
  <w:num w:numId="5" w16cid:durableId="427626991">
    <w:abstractNumId w:val="1"/>
  </w:num>
  <w:num w:numId="6" w16cid:durableId="1222868713">
    <w:abstractNumId w:val="1"/>
  </w:num>
  <w:num w:numId="7" w16cid:durableId="197358801">
    <w:abstractNumId w:val="1"/>
  </w:num>
  <w:num w:numId="8" w16cid:durableId="474178733">
    <w:abstractNumId w:val="1"/>
  </w:num>
  <w:num w:numId="9" w16cid:durableId="2049064119">
    <w:abstractNumId w:val="1"/>
  </w:num>
  <w:num w:numId="10" w16cid:durableId="1589270509">
    <w:abstractNumId w:val="3"/>
  </w:num>
  <w:num w:numId="11" w16cid:durableId="1731463970">
    <w:abstractNumId w:val="2"/>
  </w:num>
  <w:num w:numId="12" w16cid:durableId="1057358038">
    <w:abstractNumId w:val="0"/>
  </w:num>
  <w:num w:numId="13" w16cid:durableId="1911696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AA"/>
    <w:rsid w:val="000621EC"/>
    <w:rsid w:val="000B1776"/>
    <w:rsid w:val="001044C7"/>
    <w:rsid w:val="002537CD"/>
    <w:rsid w:val="00413542"/>
    <w:rsid w:val="004139AA"/>
    <w:rsid w:val="004661F8"/>
    <w:rsid w:val="00553422"/>
    <w:rsid w:val="005A3F97"/>
    <w:rsid w:val="00803C23"/>
    <w:rsid w:val="00887044"/>
    <w:rsid w:val="00893760"/>
    <w:rsid w:val="008D48ED"/>
    <w:rsid w:val="00A80108"/>
    <w:rsid w:val="00B1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FA37"/>
  <w15:chartTrackingRefBased/>
  <w15:docId w15:val="{DB11BAC2-DC1C-4283-92F6-69D93364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58"/>
    <w:rPr>
      <w:rFonts w:ascii="Arial" w:hAnsi="Arial" w:cs="Arial"/>
    </w:rPr>
  </w:style>
  <w:style w:type="paragraph" w:styleId="Heading1">
    <w:name w:val="heading 1"/>
    <w:basedOn w:val="Normal"/>
    <w:next w:val="Normal"/>
    <w:link w:val="Heading1Char"/>
    <w:uiPriority w:val="9"/>
    <w:qFormat/>
    <w:rsid w:val="00B14458"/>
    <w:pPr>
      <w:numPr>
        <w:numId w:val="9"/>
      </w:numPr>
      <w:outlineLvl w:val="0"/>
    </w:pPr>
    <w:rPr>
      <w:rFonts w:eastAsia="Times New Roman"/>
      <w:b/>
      <w:bCs/>
      <w:color w:val="0072C6"/>
      <w:kern w:val="32"/>
      <w:sz w:val="32"/>
      <w:szCs w:val="32"/>
    </w:rPr>
  </w:style>
  <w:style w:type="paragraph" w:styleId="Heading2">
    <w:name w:val="heading 2"/>
    <w:basedOn w:val="Normal"/>
    <w:next w:val="Normal"/>
    <w:link w:val="Heading2Char"/>
    <w:uiPriority w:val="9"/>
    <w:unhideWhenUsed/>
    <w:qFormat/>
    <w:rsid w:val="00B14458"/>
    <w:pPr>
      <w:numPr>
        <w:ilvl w:val="1"/>
        <w:numId w:val="9"/>
      </w:numPr>
      <w:spacing w:line="360" w:lineRule="auto"/>
      <w:outlineLvl w:val="1"/>
    </w:pPr>
    <w:rPr>
      <w:rFonts w:eastAsia="Times New Roman" w:cs="Times New Roman"/>
      <w:b/>
      <w:bCs/>
      <w:iCs/>
      <w:color w:val="A00054"/>
      <w:sz w:val="28"/>
      <w:szCs w:val="28"/>
    </w:rPr>
  </w:style>
  <w:style w:type="paragraph" w:styleId="Heading3">
    <w:name w:val="heading 3"/>
    <w:basedOn w:val="Normal"/>
    <w:next w:val="Normal"/>
    <w:link w:val="Heading3Char"/>
    <w:uiPriority w:val="9"/>
    <w:unhideWhenUsed/>
    <w:qFormat/>
    <w:rsid w:val="00B14458"/>
    <w:pPr>
      <w:numPr>
        <w:ilvl w:val="2"/>
        <w:numId w:val="9"/>
      </w:numPr>
      <w:spacing w:line="360" w:lineRule="auto"/>
      <w:outlineLvl w:val="2"/>
    </w:pPr>
    <w:rPr>
      <w:rFonts w:eastAsia="Times New Roman" w:cs="Times New Roman"/>
      <w:b/>
      <w:bCs/>
      <w:sz w:val="24"/>
      <w:szCs w:val="26"/>
    </w:rPr>
  </w:style>
  <w:style w:type="paragraph" w:styleId="Heading4">
    <w:name w:val="heading 4"/>
    <w:basedOn w:val="Normal"/>
    <w:next w:val="Normal"/>
    <w:link w:val="Heading4Char"/>
    <w:uiPriority w:val="9"/>
    <w:semiHidden/>
    <w:unhideWhenUsed/>
    <w:qFormat/>
    <w:rsid w:val="00B14458"/>
    <w:pPr>
      <w:keepNext/>
      <w:keepLines/>
      <w:numPr>
        <w:ilvl w:val="3"/>
        <w:numId w:val="9"/>
      </w:numPr>
      <w:spacing w:before="200"/>
      <w:outlineLvl w:val="3"/>
    </w:pPr>
    <w:rPr>
      <w:rFonts w:asciiTheme="majorHAnsi" w:eastAsiaTheme="majorEastAsia" w:hAnsiTheme="majorHAnsi" w:cstheme="majorBidi"/>
      <w:b/>
      <w:i/>
      <w:iCs/>
      <w:color w:val="156082" w:themeColor="accent1"/>
      <w:sz w:val="24"/>
      <w:szCs w:val="26"/>
    </w:rPr>
  </w:style>
  <w:style w:type="paragraph" w:styleId="Heading5">
    <w:name w:val="heading 5"/>
    <w:basedOn w:val="Normal"/>
    <w:next w:val="Normal"/>
    <w:link w:val="Heading5Char"/>
    <w:uiPriority w:val="9"/>
    <w:semiHidden/>
    <w:unhideWhenUsed/>
    <w:qFormat/>
    <w:rsid w:val="00B14458"/>
    <w:pPr>
      <w:keepNext/>
      <w:keepLines/>
      <w:numPr>
        <w:ilvl w:val="4"/>
        <w:numId w:val="9"/>
      </w:numPr>
      <w:spacing w:before="200"/>
      <w:outlineLvl w:val="4"/>
    </w:pPr>
    <w:rPr>
      <w:rFonts w:asciiTheme="majorHAnsi" w:eastAsiaTheme="majorEastAsia" w:hAnsiTheme="majorHAnsi" w:cstheme="majorBidi"/>
      <w:bCs/>
      <w:color w:val="0A2F40" w:themeColor="accent1" w:themeShade="7F"/>
      <w:sz w:val="24"/>
      <w:szCs w:val="26"/>
    </w:rPr>
  </w:style>
  <w:style w:type="paragraph" w:styleId="Heading6">
    <w:name w:val="heading 6"/>
    <w:basedOn w:val="Normal"/>
    <w:next w:val="Normal"/>
    <w:link w:val="Heading6Char"/>
    <w:uiPriority w:val="9"/>
    <w:semiHidden/>
    <w:unhideWhenUsed/>
    <w:qFormat/>
    <w:rsid w:val="00B14458"/>
    <w:pPr>
      <w:keepNext/>
      <w:keepLines/>
      <w:numPr>
        <w:ilvl w:val="5"/>
        <w:numId w:val="9"/>
      </w:numPr>
      <w:spacing w:before="200"/>
      <w:outlineLvl w:val="5"/>
    </w:pPr>
    <w:rPr>
      <w:rFonts w:asciiTheme="majorHAnsi" w:eastAsiaTheme="majorEastAsia" w:hAnsiTheme="majorHAnsi" w:cstheme="majorBidi"/>
      <w:bCs/>
      <w:i/>
      <w:iCs/>
      <w:color w:val="0A2F40" w:themeColor="accent1" w:themeShade="7F"/>
      <w:sz w:val="24"/>
      <w:szCs w:val="26"/>
    </w:rPr>
  </w:style>
  <w:style w:type="paragraph" w:styleId="Heading7">
    <w:name w:val="heading 7"/>
    <w:basedOn w:val="Normal"/>
    <w:next w:val="Normal"/>
    <w:link w:val="Heading7Char"/>
    <w:uiPriority w:val="9"/>
    <w:semiHidden/>
    <w:unhideWhenUsed/>
    <w:qFormat/>
    <w:rsid w:val="00B14458"/>
    <w:pPr>
      <w:keepNext/>
      <w:keepLines/>
      <w:numPr>
        <w:ilvl w:val="6"/>
        <w:numId w:val="9"/>
      </w:numPr>
      <w:spacing w:before="200"/>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B14458"/>
    <w:pPr>
      <w:keepNext/>
      <w:keepLines/>
      <w:numPr>
        <w:ilvl w:val="7"/>
        <w:numId w:val="9"/>
      </w:numPr>
      <w:spacing w:before="20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B14458"/>
    <w:pPr>
      <w:keepNext/>
      <w:keepLines/>
      <w:numPr>
        <w:ilvl w:val="8"/>
        <w:numId w:val="9"/>
      </w:numPr>
      <w:spacing w:before="20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14458"/>
  </w:style>
  <w:style w:type="paragraph" w:customStyle="1" w:styleId="Default">
    <w:name w:val="Default"/>
    <w:rsid w:val="00B14458"/>
    <w:pPr>
      <w:autoSpaceDE w:val="0"/>
      <w:autoSpaceDN w:val="0"/>
      <w:adjustRightInd w:val="0"/>
    </w:pPr>
    <w:rPr>
      <w:rFonts w:ascii="Arial" w:hAnsi="Arial" w:cs="Arial"/>
      <w:color w:val="000000"/>
      <w:sz w:val="24"/>
      <w:szCs w:val="24"/>
    </w:rPr>
  </w:style>
  <w:style w:type="character" w:customStyle="1" w:styleId="markzf5vbemf7">
    <w:name w:val="markzf5vbemf7"/>
    <w:basedOn w:val="DefaultParagraphFont"/>
    <w:rsid w:val="00B14458"/>
  </w:style>
  <w:style w:type="character" w:customStyle="1" w:styleId="A1">
    <w:name w:val="A1"/>
    <w:uiPriority w:val="99"/>
    <w:rsid w:val="00B14458"/>
    <w:rPr>
      <w:rFonts w:cs="Helvetica 55 Roman"/>
      <w:color w:val="000000"/>
      <w:sz w:val="20"/>
      <w:szCs w:val="20"/>
    </w:rPr>
  </w:style>
  <w:style w:type="paragraph" w:customStyle="1" w:styleId="Pa3">
    <w:name w:val="Pa3"/>
    <w:basedOn w:val="Default"/>
    <w:next w:val="Default"/>
    <w:uiPriority w:val="99"/>
    <w:rsid w:val="00B14458"/>
    <w:pPr>
      <w:spacing w:line="241" w:lineRule="atLeast"/>
    </w:pPr>
    <w:rPr>
      <w:rFonts w:ascii="Helvetica 55 Roman" w:hAnsi="Helvetica 55 Roman" w:cstheme="minorBidi"/>
      <w:color w:val="auto"/>
    </w:rPr>
  </w:style>
  <w:style w:type="character" w:customStyle="1" w:styleId="hi">
    <w:name w:val="hi"/>
    <w:basedOn w:val="DefaultParagraphFont"/>
    <w:rsid w:val="00B14458"/>
  </w:style>
  <w:style w:type="paragraph" w:customStyle="1" w:styleId="FifthMainHeading">
    <w:name w:val="Fifth Main Heading"/>
    <w:basedOn w:val="Normal"/>
    <w:next w:val="Normal"/>
    <w:qFormat/>
    <w:rsid w:val="00B14458"/>
    <w:pPr>
      <w:keepNext/>
      <w:spacing w:before="240" w:line="280" w:lineRule="atLeast"/>
    </w:pPr>
    <w:rPr>
      <w:rFonts w:ascii="Arial Bold" w:eastAsiaTheme="minorHAnsi" w:hAnsi="Arial Bold" w:cstheme="minorBidi"/>
      <w:b/>
      <w:color w:val="0070C0"/>
      <w:sz w:val="24"/>
    </w:rPr>
  </w:style>
  <w:style w:type="character" w:customStyle="1" w:styleId="Heading1Char">
    <w:name w:val="Heading 1 Char"/>
    <w:basedOn w:val="DefaultParagraphFont"/>
    <w:link w:val="Heading1"/>
    <w:uiPriority w:val="9"/>
    <w:rsid w:val="00B14458"/>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B14458"/>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B14458"/>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B14458"/>
    <w:rPr>
      <w:rFonts w:asciiTheme="majorHAnsi" w:eastAsiaTheme="majorEastAsia" w:hAnsiTheme="majorHAnsi" w:cstheme="majorBidi"/>
      <w:b/>
      <w:i/>
      <w:iCs/>
      <w:color w:val="156082" w:themeColor="accent1"/>
      <w:sz w:val="24"/>
      <w:szCs w:val="26"/>
    </w:rPr>
  </w:style>
  <w:style w:type="character" w:customStyle="1" w:styleId="Heading5Char">
    <w:name w:val="Heading 5 Char"/>
    <w:basedOn w:val="DefaultParagraphFont"/>
    <w:link w:val="Heading5"/>
    <w:uiPriority w:val="9"/>
    <w:semiHidden/>
    <w:rsid w:val="00B14458"/>
    <w:rPr>
      <w:rFonts w:asciiTheme="majorHAnsi" w:eastAsiaTheme="majorEastAsia" w:hAnsiTheme="majorHAnsi" w:cstheme="majorBidi"/>
      <w:bCs/>
      <w:color w:val="0A2F40" w:themeColor="accent1" w:themeShade="7F"/>
      <w:sz w:val="24"/>
      <w:szCs w:val="26"/>
    </w:rPr>
  </w:style>
  <w:style w:type="character" w:customStyle="1" w:styleId="Heading6Char">
    <w:name w:val="Heading 6 Char"/>
    <w:basedOn w:val="DefaultParagraphFont"/>
    <w:link w:val="Heading6"/>
    <w:uiPriority w:val="9"/>
    <w:semiHidden/>
    <w:rsid w:val="00B14458"/>
    <w:rPr>
      <w:rFonts w:asciiTheme="majorHAnsi" w:eastAsiaTheme="majorEastAsia" w:hAnsiTheme="majorHAnsi" w:cstheme="majorBidi"/>
      <w:bCs/>
      <w:i/>
      <w:iCs/>
      <w:color w:val="0A2F40" w:themeColor="accent1" w:themeShade="7F"/>
      <w:sz w:val="24"/>
      <w:szCs w:val="26"/>
    </w:rPr>
  </w:style>
  <w:style w:type="character" w:customStyle="1" w:styleId="Heading7Char">
    <w:name w:val="Heading 7 Char"/>
    <w:basedOn w:val="DefaultParagraphFont"/>
    <w:link w:val="Heading7"/>
    <w:uiPriority w:val="9"/>
    <w:semiHidden/>
    <w:rsid w:val="00B14458"/>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B14458"/>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B14458"/>
    <w:rPr>
      <w:rFonts w:asciiTheme="majorHAnsi" w:eastAsiaTheme="majorEastAsia" w:hAnsiTheme="majorHAnsi" w:cstheme="majorBidi"/>
      <w:bCs/>
      <w:i/>
      <w:iCs/>
      <w:color w:val="404040" w:themeColor="text1" w:themeTint="BF"/>
      <w:sz w:val="20"/>
      <w:szCs w:val="20"/>
    </w:rPr>
  </w:style>
  <w:style w:type="paragraph" w:styleId="CommentText">
    <w:name w:val="annotation text"/>
    <w:basedOn w:val="Normal"/>
    <w:link w:val="CommentTextChar"/>
    <w:uiPriority w:val="99"/>
    <w:unhideWhenUsed/>
    <w:rsid w:val="00B14458"/>
    <w:rPr>
      <w:sz w:val="20"/>
      <w:szCs w:val="20"/>
    </w:rPr>
  </w:style>
  <w:style w:type="character" w:customStyle="1" w:styleId="CommentTextChar">
    <w:name w:val="Comment Text Char"/>
    <w:basedOn w:val="DefaultParagraphFont"/>
    <w:link w:val="CommentText"/>
    <w:uiPriority w:val="99"/>
    <w:rsid w:val="00B14458"/>
    <w:rPr>
      <w:rFonts w:ascii="Arial" w:eastAsia="Arial" w:hAnsi="Arial" w:cs="Arial"/>
      <w:sz w:val="20"/>
      <w:szCs w:val="20"/>
    </w:rPr>
  </w:style>
  <w:style w:type="character" w:styleId="CommentReference">
    <w:name w:val="annotation reference"/>
    <w:basedOn w:val="DefaultParagraphFont"/>
    <w:uiPriority w:val="99"/>
    <w:semiHidden/>
    <w:unhideWhenUsed/>
    <w:rsid w:val="00B14458"/>
    <w:rPr>
      <w:sz w:val="16"/>
      <w:szCs w:val="16"/>
    </w:rPr>
  </w:style>
  <w:style w:type="paragraph" w:styleId="Title">
    <w:name w:val="Title"/>
    <w:basedOn w:val="Normal"/>
    <w:link w:val="TitleChar"/>
    <w:uiPriority w:val="10"/>
    <w:qFormat/>
    <w:rsid w:val="00B14458"/>
    <w:pPr>
      <w:spacing w:before="79"/>
      <w:ind w:left="2945" w:right="2967"/>
      <w:jc w:val="center"/>
    </w:pPr>
    <w:rPr>
      <w:b/>
      <w:bCs/>
      <w:sz w:val="61"/>
      <w:szCs w:val="61"/>
    </w:rPr>
  </w:style>
  <w:style w:type="character" w:customStyle="1" w:styleId="TitleChar">
    <w:name w:val="Title Char"/>
    <w:basedOn w:val="DefaultParagraphFont"/>
    <w:link w:val="Title"/>
    <w:uiPriority w:val="10"/>
    <w:rsid w:val="00B14458"/>
    <w:rPr>
      <w:rFonts w:ascii="Arial" w:eastAsia="Arial" w:hAnsi="Arial" w:cs="Arial"/>
      <w:b/>
      <w:bCs/>
      <w:sz w:val="61"/>
      <w:szCs w:val="61"/>
    </w:rPr>
  </w:style>
  <w:style w:type="paragraph" w:styleId="BodyText">
    <w:name w:val="Body Text"/>
    <w:basedOn w:val="Normal"/>
    <w:link w:val="BodyTextChar"/>
    <w:uiPriority w:val="1"/>
    <w:qFormat/>
    <w:rsid w:val="00B14458"/>
    <w:rPr>
      <w:sz w:val="24"/>
      <w:szCs w:val="24"/>
    </w:rPr>
  </w:style>
  <w:style w:type="character" w:customStyle="1" w:styleId="BodyTextChar">
    <w:name w:val="Body Text Char"/>
    <w:basedOn w:val="DefaultParagraphFont"/>
    <w:link w:val="BodyText"/>
    <w:uiPriority w:val="1"/>
    <w:rsid w:val="00B14458"/>
    <w:rPr>
      <w:rFonts w:ascii="Arial" w:eastAsia="Arial" w:hAnsi="Arial" w:cs="Arial"/>
      <w:sz w:val="24"/>
      <w:szCs w:val="24"/>
    </w:rPr>
  </w:style>
  <w:style w:type="character" w:styleId="Hyperlink">
    <w:name w:val="Hyperlink"/>
    <w:basedOn w:val="DefaultParagraphFont"/>
    <w:uiPriority w:val="99"/>
    <w:unhideWhenUsed/>
    <w:rsid w:val="00B14458"/>
    <w:rPr>
      <w:color w:val="0000FF"/>
      <w:u w:val="single"/>
    </w:rPr>
  </w:style>
  <w:style w:type="paragraph" w:styleId="NormalWeb">
    <w:name w:val="Normal (Web)"/>
    <w:basedOn w:val="Normal"/>
    <w:uiPriority w:val="99"/>
    <w:unhideWhenUsed/>
    <w:rsid w:val="00B14458"/>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B14458"/>
    <w:rPr>
      <w:b/>
      <w:bCs/>
    </w:rPr>
  </w:style>
  <w:style w:type="character" w:customStyle="1" w:styleId="CommentSubjectChar">
    <w:name w:val="Comment Subject Char"/>
    <w:basedOn w:val="CommentTextChar"/>
    <w:link w:val="CommentSubject"/>
    <w:uiPriority w:val="99"/>
    <w:semiHidden/>
    <w:rsid w:val="00B14458"/>
    <w:rPr>
      <w:rFonts w:ascii="Arial" w:eastAsia="Arial" w:hAnsi="Arial" w:cs="Arial"/>
      <w:b/>
      <w:bCs/>
      <w:sz w:val="20"/>
      <w:szCs w:val="20"/>
    </w:rPr>
  </w:style>
  <w:style w:type="table" w:styleId="TableGrid">
    <w:name w:val="Table Grid"/>
    <w:aliases w:val="360 Table"/>
    <w:basedOn w:val="TableNormal"/>
    <w:uiPriority w:val="59"/>
    <w:rsid w:val="00B14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B14458"/>
  </w:style>
  <w:style w:type="character" w:styleId="UnresolvedMention">
    <w:name w:val="Unresolved Mention"/>
    <w:basedOn w:val="DefaultParagraphFont"/>
    <w:uiPriority w:val="99"/>
    <w:semiHidden/>
    <w:unhideWhenUsed/>
    <w:rsid w:val="00B14458"/>
    <w:rPr>
      <w:color w:val="605E5C"/>
      <w:shd w:val="clear" w:color="auto" w:fill="E1DFDD"/>
    </w:rPr>
  </w:style>
  <w:style w:type="paragraph" w:styleId="Subtitle">
    <w:name w:val="Subtitle"/>
    <w:basedOn w:val="Normal"/>
    <w:next w:val="Normal"/>
    <w:link w:val="SubtitleChar"/>
    <w:uiPriority w:val="11"/>
    <w:qFormat/>
    <w:rsid w:val="004139A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9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9AA"/>
    <w:rPr>
      <w:rFonts w:ascii="Arial" w:hAnsi="Arial" w:cs="Arial"/>
      <w:i/>
      <w:iCs/>
      <w:color w:val="404040" w:themeColor="text1" w:themeTint="BF"/>
    </w:rPr>
  </w:style>
  <w:style w:type="character" w:styleId="IntenseEmphasis">
    <w:name w:val="Intense Emphasis"/>
    <w:basedOn w:val="DefaultParagraphFont"/>
    <w:uiPriority w:val="21"/>
    <w:qFormat/>
    <w:rsid w:val="004139AA"/>
    <w:rPr>
      <w:i/>
      <w:iCs/>
      <w:color w:val="0F4761" w:themeColor="accent1" w:themeShade="BF"/>
    </w:rPr>
  </w:style>
  <w:style w:type="paragraph" w:styleId="IntenseQuote">
    <w:name w:val="Intense Quote"/>
    <w:basedOn w:val="Normal"/>
    <w:next w:val="Normal"/>
    <w:link w:val="IntenseQuoteChar"/>
    <w:uiPriority w:val="30"/>
    <w:qFormat/>
    <w:rsid w:val="00413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9AA"/>
    <w:rPr>
      <w:rFonts w:ascii="Arial" w:hAnsi="Arial" w:cs="Arial"/>
      <w:i/>
      <w:iCs/>
      <w:color w:val="0F4761" w:themeColor="accent1" w:themeShade="BF"/>
    </w:rPr>
  </w:style>
  <w:style w:type="character" w:styleId="IntenseReference">
    <w:name w:val="Intense Reference"/>
    <w:basedOn w:val="DefaultParagraphFont"/>
    <w:uiPriority w:val="32"/>
    <w:qFormat/>
    <w:rsid w:val="004139AA"/>
    <w:rPr>
      <w:b/>
      <w:bCs/>
      <w:smallCaps/>
      <w:color w:val="0F4761" w:themeColor="accent1" w:themeShade="BF"/>
      <w:spacing w:val="5"/>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4139A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Claire (NHS Southern Derbyshire CCG)</dc:creator>
  <cp:keywords/>
  <dc:description/>
  <cp:lastModifiedBy>Haynes Claire (NHS Southern Derbyshire CCG)</cp:lastModifiedBy>
  <cp:revision>3</cp:revision>
  <dcterms:created xsi:type="dcterms:W3CDTF">2025-02-19T14:34:00Z</dcterms:created>
  <dcterms:modified xsi:type="dcterms:W3CDTF">2025-02-19T14:37:00Z</dcterms:modified>
</cp:coreProperties>
</file>