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48EA0" w14:textId="4976F9B2" w:rsidR="00094B2A" w:rsidRDefault="005C7757">
      <w:r>
        <w:rPr>
          <w:noProof/>
        </w:rPr>
        <w:drawing>
          <wp:anchor distT="0" distB="0" distL="114300" distR="114300" simplePos="0" relativeHeight="251663360" behindDoc="1" locked="0" layoutInCell="1" allowOverlap="1" wp14:anchorId="74560072" wp14:editId="1AA37ED4">
            <wp:simplePos x="0" y="0"/>
            <wp:positionH relativeFrom="page">
              <wp:posOffset>4486275</wp:posOffset>
            </wp:positionH>
            <wp:positionV relativeFrom="paragraph">
              <wp:posOffset>9525</wp:posOffset>
            </wp:positionV>
            <wp:extent cx="2283460" cy="1028065"/>
            <wp:effectExtent l="0" t="0" r="0" b="0"/>
            <wp:wrapTight wrapText="bothSides">
              <wp:wrapPolygon edited="0">
                <wp:start x="12794" y="2802"/>
                <wp:lineTo x="10992" y="10006"/>
                <wp:lineTo x="1261" y="10406"/>
                <wp:lineTo x="1261" y="14009"/>
                <wp:lineTo x="7028" y="16410"/>
                <wp:lineTo x="7028" y="17211"/>
                <wp:lineTo x="7568" y="17611"/>
                <wp:lineTo x="9190" y="18411"/>
                <wp:lineTo x="10452" y="18411"/>
                <wp:lineTo x="20182" y="17611"/>
                <wp:lineTo x="20182" y="12007"/>
                <wp:lineTo x="18380" y="10807"/>
                <wp:lineTo x="20182" y="9206"/>
                <wp:lineTo x="19822" y="2802"/>
                <wp:lineTo x="12794" y="2802"/>
              </wp:wrapPolygon>
            </wp:wrapTight>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3460" cy="1028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009E57" w14:textId="77777777" w:rsidR="008628AC" w:rsidRDefault="00094B2A" w:rsidP="00094B2A">
      <w:pPr>
        <w:tabs>
          <w:tab w:val="left" w:pos="7710"/>
        </w:tabs>
      </w:pPr>
      <w:r>
        <w:tab/>
      </w:r>
    </w:p>
    <w:p w14:paraId="0BC74028" w14:textId="77777777" w:rsidR="00094B2A" w:rsidRDefault="00094B2A" w:rsidP="00094B2A">
      <w:pPr>
        <w:tabs>
          <w:tab w:val="left" w:pos="7710"/>
        </w:tabs>
      </w:pPr>
    </w:p>
    <w:p w14:paraId="75F4FC1F" w14:textId="77777777" w:rsidR="00094B2A" w:rsidRDefault="00094B2A" w:rsidP="00094B2A">
      <w:pPr>
        <w:tabs>
          <w:tab w:val="left" w:pos="7710"/>
        </w:tabs>
      </w:pPr>
    </w:p>
    <w:p w14:paraId="527916F0" w14:textId="77777777" w:rsidR="00094B2A" w:rsidRDefault="00094B2A" w:rsidP="00094B2A">
      <w:pPr>
        <w:tabs>
          <w:tab w:val="left" w:pos="7710"/>
        </w:tabs>
      </w:pPr>
    </w:p>
    <w:p w14:paraId="0A71E1C3" w14:textId="77777777" w:rsidR="00094B2A" w:rsidRDefault="00094B2A" w:rsidP="00094B2A">
      <w:pPr>
        <w:tabs>
          <w:tab w:val="left" w:pos="7710"/>
        </w:tabs>
      </w:pPr>
      <w:r>
        <w:rPr>
          <w:noProof/>
          <w:lang w:eastAsia="en-GB"/>
        </w:rPr>
        <mc:AlternateContent>
          <mc:Choice Requires="wps">
            <w:drawing>
              <wp:anchor distT="0" distB="0" distL="114300" distR="114300" simplePos="0" relativeHeight="251661312" behindDoc="0" locked="0" layoutInCell="1" allowOverlap="1" wp14:anchorId="312B23F6" wp14:editId="5F0F7267">
                <wp:simplePos x="0" y="0"/>
                <wp:positionH relativeFrom="column">
                  <wp:align>center</wp:align>
                </wp:positionH>
                <wp:positionV relativeFrom="paragraph">
                  <wp:posOffset>0</wp:posOffset>
                </wp:positionV>
                <wp:extent cx="6210300" cy="43053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4305300"/>
                        </a:xfrm>
                        <a:prstGeom prst="rect">
                          <a:avLst/>
                        </a:prstGeom>
                        <a:solidFill>
                          <a:schemeClr val="tx2">
                            <a:lumMod val="60000"/>
                            <a:lumOff val="40000"/>
                          </a:schemeClr>
                        </a:solidFill>
                        <a:ln w="9525">
                          <a:solidFill>
                            <a:srgbClr val="000000"/>
                          </a:solidFill>
                          <a:miter lim="800000"/>
                          <a:headEnd/>
                          <a:tailEnd/>
                        </a:ln>
                      </wps:spPr>
                      <wps:txbx>
                        <w:txbxContent>
                          <w:p w14:paraId="72C53DD0" w14:textId="309FE379" w:rsidR="00094B2A" w:rsidRPr="00094B2A" w:rsidRDefault="00094B2A" w:rsidP="00094B2A">
                            <w:pPr>
                              <w:jc w:val="center"/>
                              <w:rPr>
                                <w:rFonts w:ascii="Arial" w:hAnsi="Arial" w:cs="Arial"/>
                                <w:b/>
                                <w:color w:val="FFFFFF" w:themeColor="background1"/>
                                <w:sz w:val="72"/>
                                <w:szCs w:val="72"/>
                              </w:rPr>
                            </w:pPr>
                            <w:r w:rsidRPr="00094B2A">
                              <w:rPr>
                                <w:rFonts w:ascii="Arial" w:hAnsi="Arial" w:cs="Arial"/>
                                <w:b/>
                                <w:color w:val="FFFFFF" w:themeColor="background1"/>
                                <w:sz w:val="72"/>
                                <w:szCs w:val="72"/>
                              </w:rPr>
                              <w:t xml:space="preserve">NHS Derby and Derbyshire </w:t>
                            </w:r>
                            <w:r w:rsidR="005C7757">
                              <w:rPr>
                                <w:rFonts w:ascii="Arial" w:hAnsi="Arial" w:cs="Arial"/>
                                <w:b/>
                                <w:color w:val="FFFFFF" w:themeColor="background1"/>
                                <w:sz w:val="72"/>
                                <w:szCs w:val="72"/>
                              </w:rPr>
                              <w:t>Integrated Care Board (ICB)</w:t>
                            </w:r>
                          </w:p>
                          <w:p w14:paraId="13E1536B" w14:textId="77777777" w:rsidR="00094B2A" w:rsidRPr="00094B2A" w:rsidRDefault="00094B2A" w:rsidP="00094B2A">
                            <w:pPr>
                              <w:jc w:val="center"/>
                              <w:rPr>
                                <w:rFonts w:ascii="Arial" w:hAnsi="Arial" w:cs="Arial"/>
                                <w:b/>
                                <w:color w:val="FFFFFF" w:themeColor="background1"/>
                                <w:sz w:val="28"/>
                                <w:szCs w:val="28"/>
                              </w:rPr>
                            </w:pPr>
                          </w:p>
                          <w:p w14:paraId="4649F747" w14:textId="02B42878" w:rsidR="00094B2A" w:rsidRDefault="00094B2A" w:rsidP="00094B2A">
                            <w:pPr>
                              <w:jc w:val="center"/>
                              <w:rPr>
                                <w:rFonts w:ascii="Arial" w:hAnsi="Arial" w:cs="Arial"/>
                                <w:b/>
                                <w:color w:val="FFFFFF" w:themeColor="background1"/>
                                <w:sz w:val="72"/>
                                <w:szCs w:val="72"/>
                              </w:rPr>
                            </w:pPr>
                            <w:r w:rsidRPr="00094B2A">
                              <w:rPr>
                                <w:rFonts w:ascii="Arial" w:hAnsi="Arial" w:cs="Arial"/>
                                <w:b/>
                                <w:color w:val="FFFFFF" w:themeColor="background1"/>
                                <w:sz w:val="72"/>
                                <w:szCs w:val="72"/>
                              </w:rPr>
                              <w:t xml:space="preserve">Gender Pay Gap Report </w:t>
                            </w:r>
                            <w:r w:rsidR="00F926F8" w:rsidRPr="00094B2A">
                              <w:rPr>
                                <w:rFonts w:ascii="Arial" w:hAnsi="Arial" w:cs="Arial"/>
                                <w:b/>
                                <w:color w:val="FFFFFF" w:themeColor="background1"/>
                                <w:sz w:val="72"/>
                                <w:szCs w:val="72"/>
                              </w:rPr>
                              <w:t>20</w:t>
                            </w:r>
                            <w:r w:rsidR="00F926F8">
                              <w:rPr>
                                <w:rFonts w:ascii="Arial" w:hAnsi="Arial" w:cs="Arial"/>
                                <w:b/>
                                <w:color w:val="FFFFFF" w:themeColor="background1"/>
                                <w:sz w:val="72"/>
                                <w:szCs w:val="72"/>
                              </w:rPr>
                              <w:t>2</w:t>
                            </w:r>
                            <w:r w:rsidR="00EE5C19">
                              <w:rPr>
                                <w:rFonts w:ascii="Arial" w:hAnsi="Arial" w:cs="Arial"/>
                                <w:b/>
                                <w:color w:val="FFFFFF" w:themeColor="background1"/>
                                <w:sz w:val="72"/>
                                <w:szCs w:val="72"/>
                              </w:rPr>
                              <w:t>4</w:t>
                            </w:r>
                            <w:r w:rsidR="00F926F8" w:rsidRPr="00094B2A">
                              <w:rPr>
                                <w:rFonts w:ascii="Arial" w:hAnsi="Arial" w:cs="Arial"/>
                                <w:b/>
                                <w:color w:val="FFFFFF" w:themeColor="background1"/>
                                <w:sz w:val="72"/>
                                <w:szCs w:val="72"/>
                              </w:rPr>
                              <w:t>-20</w:t>
                            </w:r>
                            <w:r w:rsidR="00F926F8">
                              <w:rPr>
                                <w:rFonts w:ascii="Arial" w:hAnsi="Arial" w:cs="Arial"/>
                                <w:b/>
                                <w:color w:val="FFFFFF" w:themeColor="background1"/>
                                <w:sz w:val="72"/>
                                <w:szCs w:val="72"/>
                              </w:rPr>
                              <w:t>2</w:t>
                            </w:r>
                            <w:r w:rsidR="00EE5C19">
                              <w:rPr>
                                <w:rFonts w:ascii="Arial" w:hAnsi="Arial" w:cs="Arial"/>
                                <w:b/>
                                <w:color w:val="FFFFFF" w:themeColor="background1"/>
                                <w:sz w:val="72"/>
                                <w:szCs w:val="72"/>
                              </w:rPr>
                              <w:t>5</w:t>
                            </w:r>
                          </w:p>
                          <w:p w14:paraId="1EA03C9B" w14:textId="77777777" w:rsidR="00781D53" w:rsidRPr="00781D53" w:rsidRDefault="00781D53" w:rsidP="00781D53">
                            <w:pPr>
                              <w:autoSpaceDE w:val="0"/>
                              <w:autoSpaceDN w:val="0"/>
                              <w:adjustRightInd w:val="0"/>
                              <w:spacing w:after="0" w:line="240" w:lineRule="auto"/>
                              <w:rPr>
                                <w:rFonts w:ascii="Calibri" w:hAnsi="Calibri" w:cs="Calibri"/>
                                <w:color w:val="000000"/>
                                <w:sz w:val="24"/>
                                <w:szCs w:val="24"/>
                              </w:rPr>
                            </w:pPr>
                          </w:p>
                          <w:p w14:paraId="0441C9AC" w14:textId="79A3BC4F" w:rsidR="00781D53" w:rsidRPr="00094B2A" w:rsidRDefault="00781D53" w:rsidP="00781D53">
                            <w:pPr>
                              <w:jc w:val="center"/>
                              <w:rPr>
                                <w:rFonts w:ascii="Arial" w:hAnsi="Arial" w:cs="Arial"/>
                                <w:b/>
                                <w:color w:val="FFFFFF" w:themeColor="background1"/>
                                <w:sz w:val="72"/>
                                <w:szCs w:val="72"/>
                              </w:rPr>
                            </w:pPr>
                            <w:r w:rsidRPr="00781D53">
                              <w:rPr>
                                <w:rFonts w:ascii="Calibri" w:hAnsi="Calibri" w:cs="Calibri"/>
                                <w:color w:val="000000"/>
                                <w:sz w:val="24"/>
                                <w:szCs w:val="24"/>
                              </w:rPr>
                              <w:t xml:space="preserve"> </w:t>
                            </w:r>
                            <w:r w:rsidRPr="00781D53">
                              <w:rPr>
                                <w:rFonts w:ascii="Calibri" w:hAnsi="Calibri" w:cs="Calibri"/>
                                <w:b/>
                                <w:bCs/>
                                <w:i/>
                                <w:iCs/>
                                <w:color w:val="000000"/>
                                <w:sz w:val="30"/>
                                <w:szCs w:val="30"/>
                              </w:rPr>
                              <w:t xml:space="preserve">(data extract as </w:t>
                            </w:r>
                            <w:proofErr w:type="gramStart"/>
                            <w:r w:rsidRPr="00781D53">
                              <w:rPr>
                                <w:rFonts w:ascii="Calibri" w:hAnsi="Calibri" w:cs="Calibri"/>
                                <w:b/>
                                <w:bCs/>
                                <w:i/>
                                <w:iCs/>
                                <w:color w:val="000000"/>
                                <w:sz w:val="30"/>
                                <w:szCs w:val="30"/>
                              </w:rPr>
                              <w:t>at</w:t>
                            </w:r>
                            <w:proofErr w:type="gramEnd"/>
                            <w:r w:rsidRPr="00781D53">
                              <w:rPr>
                                <w:rFonts w:ascii="Calibri" w:hAnsi="Calibri" w:cs="Calibri"/>
                                <w:b/>
                                <w:bCs/>
                                <w:i/>
                                <w:iCs/>
                                <w:color w:val="000000"/>
                                <w:sz w:val="30"/>
                                <w:szCs w:val="30"/>
                              </w:rPr>
                              <w:t xml:space="preserve"> 31 March 20</w:t>
                            </w:r>
                            <w:r w:rsidR="00A64754">
                              <w:rPr>
                                <w:rFonts w:ascii="Calibri" w:hAnsi="Calibri" w:cs="Calibri"/>
                                <w:b/>
                                <w:bCs/>
                                <w:i/>
                                <w:iCs/>
                                <w:color w:val="000000"/>
                                <w:sz w:val="30"/>
                                <w:szCs w:val="30"/>
                              </w:rPr>
                              <w:t>2</w:t>
                            </w:r>
                            <w:r w:rsidR="00EE5C19">
                              <w:rPr>
                                <w:rFonts w:ascii="Calibri" w:hAnsi="Calibri" w:cs="Calibri"/>
                                <w:b/>
                                <w:bCs/>
                                <w:i/>
                                <w:iCs/>
                                <w:color w:val="000000"/>
                                <w:sz w:val="30"/>
                                <w:szCs w:val="30"/>
                              </w:rPr>
                              <w:t>5</w:t>
                            </w:r>
                            <w:r w:rsidRPr="00781D53">
                              <w:rPr>
                                <w:rFonts w:ascii="Calibri" w:hAnsi="Calibri" w:cs="Calibri"/>
                                <w:b/>
                                <w:bCs/>
                                <w:i/>
                                <w:iCs/>
                                <w:color w:val="000000"/>
                                <w:sz w:val="30"/>
                                <w:szCs w:val="3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2B23F6" id="_x0000_t202" coordsize="21600,21600" o:spt="202" path="m,l,21600r21600,l21600,xe">
                <v:stroke joinstyle="miter"/>
                <v:path gradientshapeok="t" o:connecttype="rect"/>
              </v:shapetype>
              <v:shape id="Text Box 2" o:spid="_x0000_s1026" type="#_x0000_t202" style="position:absolute;margin-left:0;margin-top:0;width:489pt;height:339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" fillcolor="#548dd4 [1951]">
                <v:textbox>
                  <w:txbxContent>
                    <w:p w14:paraId="72C53DD0" w14:textId="309FE379" w:rsidR="00094B2A" w:rsidRPr="00094B2A" w:rsidRDefault="00094B2A" w:rsidP="00094B2A">
                      <w:pPr>
                        <w:jc w:val="center"/>
                        <w:rPr>
                          <w:rFonts w:ascii="Arial" w:hAnsi="Arial" w:cs="Arial"/>
                          <w:b/>
                          <w:color w:val="FFFFFF" w:themeColor="background1"/>
                          <w:sz w:val="72"/>
                          <w:szCs w:val="72"/>
                        </w:rPr>
                      </w:pPr>
                      <w:r w:rsidRPr="00094B2A">
                        <w:rPr>
                          <w:rFonts w:ascii="Arial" w:hAnsi="Arial" w:cs="Arial"/>
                          <w:b/>
                          <w:color w:val="FFFFFF" w:themeColor="background1"/>
                          <w:sz w:val="72"/>
                          <w:szCs w:val="72"/>
                        </w:rPr>
                        <w:t xml:space="preserve">NHS Derby and Derbyshire </w:t>
                      </w:r>
                      <w:r w:rsidR="005C7757">
                        <w:rPr>
                          <w:rFonts w:ascii="Arial" w:hAnsi="Arial" w:cs="Arial"/>
                          <w:b/>
                          <w:color w:val="FFFFFF" w:themeColor="background1"/>
                          <w:sz w:val="72"/>
                          <w:szCs w:val="72"/>
                        </w:rPr>
                        <w:t>Integrated Care Board (ICB)</w:t>
                      </w:r>
                    </w:p>
                    <w:p w14:paraId="13E1536B" w14:textId="77777777" w:rsidR="00094B2A" w:rsidRPr="00094B2A" w:rsidRDefault="00094B2A" w:rsidP="00094B2A">
                      <w:pPr>
                        <w:jc w:val="center"/>
                        <w:rPr>
                          <w:rFonts w:ascii="Arial" w:hAnsi="Arial" w:cs="Arial"/>
                          <w:b/>
                          <w:color w:val="FFFFFF" w:themeColor="background1"/>
                          <w:sz w:val="28"/>
                          <w:szCs w:val="28"/>
                        </w:rPr>
                      </w:pPr>
                    </w:p>
                    <w:p w14:paraId="4649F747" w14:textId="02B42878" w:rsidR="00094B2A" w:rsidRDefault="00094B2A" w:rsidP="00094B2A">
                      <w:pPr>
                        <w:jc w:val="center"/>
                        <w:rPr>
                          <w:rFonts w:ascii="Arial" w:hAnsi="Arial" w:cs="Arial"/>
                          <w:b/>
                          <w:color w:val="FFFFFF" w:themeColor="background1"/>
                          <w:sz w:val="72"/>
                          <w:szCs w:val="72"/>
                        </w:rPr>
                      </w:pPr>
                      <w:r w:rsidRPr="00094B2A">
                        <w:rPr>
                          <w:rFonts w:ascii="Arial" w:hAnsi="Arial" w:cs="Arial"/>
                          <w:b/>
                          <w:color w:val="FFFFFF" w:themeColor="background1"/>
                          <w:sz w:val="72"/>
                          <w:szCs w:val="72"/>
                        </w:rPr>
                        <w:t xml:space="preserve">Gender Pay Gap Report </w:t>
                      </w:r>
                      <w:r w:rsidR="00F926F8" w:rsidRPr="00094B2A">
                        <w:rPr>
                          <w:rFonts w:ascii="Arial" w:hAnsi="Arial" w:cs="Arial"/>
                          <w:b/>
                          <w:color w:val="FFFFFF" w:themeColor="background1"/>
                          <w:sz w:val="72"/>
                          <w:szCs w:val="72"/>
                        </w:rPr>
                        <w:t>20</w:t>
                      </w:r>
                      <w:r w:rsidR="00F926F8">
                        <w:rPr>
                          <w:rFonts w:ascii="Arial" w:hAnsi="Arial" w:cs="Arial"/>
                          <w:b/>
                          <w:color w:val="FFFFFF" w:themeColor="background1"/>
                          <w:sz w:val="72"/>
                          <w:szCs w:val="72"/>
                        </w:rPr>
                        <w:t>2</w:t>
                      </w:r>
                      <w:r w:rsidR="00EE5C19">
                        <w:rPr>
                          <w:rFonts w:ascii="Arial" w:hAnsi="Arial" w:cs="Arial"/>
                          <w:b/>
                          <w:color w:val="FFFFFF" w:themeColor="background1"/>
                          <w:sz w:val="72"/>
                          <w:szCs w:val="72"/>
                        </w:rPr>
                        <w:t>4</w:t>
                      </w:r>
                      <w:r w:rsidR="00F926F8" w:rsidRPr="00094B2A">
                        <w:rPr>
                          <w:rFonts w:ascii="Arial" w:hAnsi="Arial" w:cs="Arial"/>
                          <w:b/>
                          <w:color w:val="FFFFFF" w:themeColor="background1"/>
                          <w:sz w:val="72"/>
                          <w:szCs w:val="72"/>
                        </w:rPr>
                        <w:t>-20</w:t>
                      </w:r>
                      <w:r w:rsidR="00F926F8">
                        <w:rPr>
                          <w:rFonts w:ascii="Arial" w:hAnsi="Arial" w:cs="Arial"/>
                          <w:b/>
                          <w:color w:val="FFFFFF" w:themeColor="background1"/>
                          <w:sz w:val="72"/>
                          <w:szCs w:val="72"/>
                        </w:rPr>
                        <w:t>2</w:t>
                      </w:r>
                      <w:r w:rsidR="00EE5C19">
                        <w:rPr>
                          <w:rFonts w:ascii="Arial" w:hAnsi="Arial" w:cs="Arial"/>
                          <w:b/>
                          <w:color w:val="FFFFFF" w:themeColor="background1"/>
                          <w:sz w:val="72"/>
                          <w:szCs w:val="72"/>
                        </w:rPr>
                        <w:t>5</w:t>
                      </w:r>
                    </w:p>
                    <w:p w14:paraId="1EA03C9B" w14:textId="77777777" w:rsidR="00781D53" w:rsidRPr="00781D53" w:rsidRDefault="00781D53" w:rsidP="00781D53">
                      <w:pPr>
                        <w:autoSpaceDE w:val="0"/>
                        <w:autoSpaceDN w:val="0"/>
                        <w:adjustRightInd w:val="0"/>
                        <w:spacing w:after="0" w:line="240" w:lineRule="auto"/>
                        <w:rPr>
                          <w:rFonts w:ascii="Calibri" w:hAnsi="Calibri" w:cs="Calibri"/>
                          <w:color w:val="000000"/>
                          <w:sz w:val="24"/>
                          <w:szCs w:val="24"/>
                        </w:rPr>
                      </w:pPr>
                    </w:p>
                    <w:p w14:paraId="0441C9AC" w14:textId="79A3BC4F" w:rsidR="00781D53" w:rsidRPr="00094B2A" w:rsidRDefault="00781D53" w:rsidP="00781D53">
                      <w:pPr>
                        <w:jc w:val="center"/>
                        <w:rPr>
                          <w:rFonts w:ascii="Arial" w:hAnsi="Arial" w:cs="Arial"/>
                          <w:b/>
                          <w:color w:val="FFFFFF" w:themeColor="background1"/>
                          <w:sz w:val="72"/>
                          <w:szCs w:val="72"/>
                        </w:rPr>
                      </w:pPr>
                      <w:r w:rsidRPr="00781D53">
                        <w:rPr>
                          <w:rFonts w:ascii="Calibri" w:hAnsi="Calibri" w:cs="Calibri"/>
                          <w:color w:val="000000"/>
                          <w:sz w:val="24"/>
                          <w:szCs w:val="24"/>
                        </w:rPr>
                        <w:t xml:space="preserve"> </w:t>
                      </w:r>
                      <w:r w:rsidRPr="00781D53">
                        <w:rPr>
                          <w:rFonts w:ascii="Calibri" w:hAnsi="Calibri" w:cs="Calibri"/>
                          <w:b/>
                          <w:bCs/>
                          <w:i/>
                          <w:iCs/>
                          <w:color w:val="000000"/>
                          <w:sz w:val="30"/>
                          <w:szCs w:val="30"/>
                        </w:rPr>
                        <w:t xml:space="preserve">(data extract as </w:t>
                      </w:r>
                      <w:proofErr w:type="gramStart"/>
                      <w:r w:rsidRPr="00781D53">
                        <w:rPr>
                          <w:rFonts w:ascii="Calibri" w:hAnsi="Calibri" w:cs="Calibri"/>
                          <w:b/>
                          <w:bCs/>
                          <w:i/>
                          <w:iCs/>
                          <w:color w:val="000000"/>
                          <w:sz w:val="30"/>
                          <w:szCs w:val="30"/>
                        </w:rPr>
                        <w:t>at</w:t>
                      </w:r>
                      <w:proofErr w:type="gramEnd"/>
                      <w:r w:rsidRPr="00781D53">
                        <w:rPr>
                          <w:rFonts w:ascii="Calibri" w:hAnsi="Calibri" w:cs="Calibri"/>
                          <w:b/>
                          <w:bCs/>
                          <w:i/>
                          <w:iCs/>
                          <w:color w:val="000000"/>
                          <w:sz w:val="30"/>
                          <w:szCs w:val="30"/>
                        </w:rPr>
                        <w:t xml:space="preserve"> 31 March 20</w:t>
                      </w:r>
                      <w:r w:rsidR="00A64754">
                        <w:rPr>
                          <w:rFonts w:ascii="Calibri" w:hAnsi="Calibri" w:cs="Calibri"/>
                          <w:b/>
                          <w:bCs/>
                          <w:i/>
                          <w:iCs/>
                          <w:color w:val="000000"/>
                          <w:sz w:val="30"/>
                          <w:szCs w:val="30"/>
                        </w:rPr>
                        <w:t>2</w:t>
                      </w:r>
                      <w:r w:rsidR="00EE5C19">
                        <w:rPr>
                          <w:rFonts w:ascii="Calibri" w:hAnsi="Calibri" w:cs="Calibri"/>
                          <w:b/>
                          <w:bCs/>
                          <w:i/>
                          <w:iCs/>
                          <w:color w:val="000000"/>
                          <w:sz w:val="30"/>
                          <w:szCs w:val="30"/>
                        </w:rPr>
                        <w:t>5</w:t>
                      </w:r>
                      <w:r w:rsidRPr="00781D53">
                        <w:rPr>
                          <w:rFonts w:ascii="Calibri" w:hAnsi="Calibri" w:cs="Calibri"/>
                          <w:b/>
                          <w:bCs/>
                          <w:i/>
                          <w:iCs/>
                          <w:color w:val="000000"/>
                          <w:sz w:val="30"/>
                          <w:szCs w:val="30"/>
                        </w:rPr>
                        <w:t>)</w:t>
                      </w:r>
                    </w:p>
                  </w:txbxContent>
                </v:textbox>
              </v:shape>
            </w:pict>
          </mc:Fallback>
        </mc:AlternateContent>
      </w:r>
    </w:p>
    <w:p w14:paraId="4DEEB0E2" w14:textId="77777777" w:rsidR="00094B2A" w:rsidRDefault="00094B2A" w:rsidP="00094B2A">
      <w:pPr>
        <w:tabs>
          <w:tab w:val="left" w:pos="7710"/>
        </w:tabs>
      </w:pPr>
    </w:p>
    <w:p w14:paraId="5904AD09" w14:textId="77777777" w:rsidR="00094B2A" w:rsidRPr="00094B2A" w:rsidRDefault="00094B2A" w:rsidP="00094B2A"/>
    <w:p w14:paraId="236F116E" w14:textId="77777777" w:rsidR="00094B2A" w:rsidRPr="00094B2A" w:rsidRDefault="00094B2A" w:rsidP="00094B2A"/>
    <w:p w14:paraId="76FC76A9" w14:textId="77777777" w:rsidR="00094B2A" w:rsidRPr="00094B2A" w:rsidRDefault="00094B2A" w:rsidP="00094B2A"/>
    <w:p w14:paraId="4E611918" w14:textId="77777777" w:rsidR="00094B2A" w:rsidRPr="00094B2A" w:rsidRDefault="00094B2A" w:rsidP="00094B2A"/>
    <w:p w14:paraId="7E0C968A" w14:textId="77777777" w:rsidR="00094B2A" w:rsidRPr="00094B2A" w:rsidRDefault="00094B2A" w:rsidP="00094B2A"/>
    <w:p w14:paraId="43F830C2" w14:textId="77777777" w:rsidR="00094B2A" w:rsidRPr="00094B2A" w:rsidRDefault="00094B2A" w:rsidP="00094B2A"/>
    <w:p w14:paraId="23734970" w14:textId="77777777" w:rsidR="00094B2A" w:rsidRPr="00094B2A" w:rsidRDefault="00094B2A" w:rsidP="00094B2A"/>
    <w:p w14:paraId="18D501B1" w14:textId="77777777" w:rsidR="00094B2A" w:rsidRPr="00094B2A" w:rsidRDefault="00094B2A" w:rsidP="00094B2A"/>
    <w:p w14:paraId="3EAE9906" w14:textId="77777777" w:rsidR="00094B2A" w:rsidRPr="00094B2A" w:rsidRDefault="00094B2A" w:rsidP="00094B2A"/>
    <w:p w14:paraId="4B315E16" w14:textId="77777777" w:rsidR="00094B2A" w:rsidRPr="00094B2A" w:rsidRDefault="00094B2A" w:rsidP="00094B2A"/>
    <w:p w14:paraId="3FF342D7" w14:textId="77777777" w:rsidR="00094B2A" w:rsidRPr="00094B2A" w:rsidRDefault="00094B2A" w:rsidP="00094B2A"/>
    <w:p w14:paraId="72580B91" w14:textId="77777777" w:rsidR="00094B2A" w:rsidRPr="00094B2A" w:rsidRDefault="00094B2A" w:rsidP="00094B2A"/>
    <w:p w14:paraId="36C0B53C" w14:textId="77777777" w:rsidR="00094B2A" w:rsidRPr="00094B2A" w:rsidRDefault="00094B2A" w:rsidP="00094B2A"/>
    <w:p w14:paraId="19F58682" w14:textId="77777777" w:rsidR="00094B2A" w:rsidRPr="00094B2A" w:rsidRDefault="00094B2A" w:rsidP="00094B2A"/>
    <w:p w14:paraId="5B66A250" w14:textId="77777777" w:rsidR="00E700ED" w:rsidRDefault="00094B2A" w:rsidP="00E700ED">
      <w:pPr>
        <w:tabs>
          <w:tab w:val="left" w:pos="0"/>
        </w:tabs>
      </w:pPr>
      <w:r>
        <w:tab/>
      </w:r>
      <w:r>
        <w:rPr>
          <w:noProof/>
          <w:lang w:eastAsia="en-GB"/>
        </w:rPr>
        <w:drawing>
          <wp:inline distT="0" distB="0" distL="0" distR="0" wp14:anchorId="6EA4B1AE" wp14:editId="3F415F5D">
            <wp:extent cx="6191250" cy="8658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91250" cy="865849"/>
                    </a:xfrm>
                    <a:prstGeom prst="rect">
                      <a:avLst/>
                    </a:prstGeom>
                  </pic:spPr>
                </pic:pic>
              </a:graphicData>
            </a:graphic>
          </wp:inline>
        </w:drawing>
      </w:r>
    </w:p>
    <w:p w14:paraId="0B6DBDCB" w14:textId="4A875919" w:rsidR="00E700ED" w:rsidRDefault="00E700ED"/>
    <w:sdt>
      <w:sdtPr>
        <w:rPr>
          <w:rFonts w:asciiTheme="minorHAnsi" w:eastAsiaTheme="minorHAnsi" w:hAnsiTheme="minorHAnsi" w:cstheme="minorBidi"/>
          <w:b w:val="0"/>
          <w:bCs w:val="0"/>
          <w:color w:val="auto"/>
          <w:sz w:val="22"/>
          <w:szCs w:val="22"/>
          <w:lang w:val="en-GB" w:eastAsia="en-US"/>
        </w:rPr>
        <w:id w:val="-573350864"/>
        <w:docPartObj>
          <w:docPartGallery w:val="Table of Contents"/>
          <w:docPartUnique/>
        </w:docPartObj>
      </w:sdtPr>
      <w:sdtEndPr>
        <w:rPr>
          <w:noProof/>
        </w:rPr>
      </w:sdtEndPr>
      <w:sdtContent>
        <w:p w14:paraId="0C16C959" w14:textId="77777777" w:rsidR="006B7CAD" w:rsidRPr="006B7CAD" w:rsidRDefault="006B7CAD" w:rsidP="006B7CAD">
          <w:pPr>
            <w:pStyle w:val="TOCHeading"/>
            <w:spacing w:after="120"/>
            <w:rPr>
              <w:rFonts w:ascii="Arial" w:hAnsi="Arial" w:cs="Arial"/>
              <w:color w:val="auto"/>
            </w:rPr>
          </w:pPr>
          <w:r w:rsidRPr="006B7CAD">
            <w:rPr>
              <w:rFonts w:ascii="Arial" w:hAnsi="Arial" w:cs="Arial"/>
              <w:color w:val="auto"/>
            </w:rPr>
            <w:t>Contents</w:t>
          </w:r>
        </w:p>
        <w:p w14:paraId="61372270" w14:textId="77777777" w:rsidR="005802ED" w:rsidRDefault="006B7CAD">
          <w:pPr>
            <w:pStyle w:val="TOC1"/>
            <w:tabs>
              <w:tab w:val="left" w:pos="660"/>
              <w:tab w:val="right" w:leader="dot" w:pos="9016"/>
            </w:tabs>
            <w:rPr>
              <w:rFonts w:eastAsiaTheme="minorEastAsia"/>
              <w:noProof/>
              <w:lang w:eastAsia="en-GB"/>
            </w:rPr>
          </w:pPr>
          <w:r>
            <w:fldChar w:fldCharType="begin"/>
          </w:r>
          <w:r>
            <w:instrText xml:space="preserve"> TOC \o "1-3" \h \z \u </w:instrText>
          </w:r>
          <w:r>
            <w:fldChar w:fldCharType="separate"/>
          </w:r>
          <w:hyperlink w:anchor="_Toc68001642" w:history="1">
            <w:r w:rsidR="005802ED" w:rsidRPr="00F37C81">
              <w:rPr>
                <w:rStyle w:val="Hyperlink"/>
                <w:rFonts w:ascii="Arial" w:hAnsi="Arial" w:cs="Arial"/>
                <w:noProof/>
              </w:rPr>
              <w:t>1.0</w:t>
            </w:r>
            <w:r w:rsidR="005802ED">
              <w:rPr>
                <w:rFonts w:eastAsiaTheme="minorEastAsia"/>
                <w:noProof/>
                <w:lang w:eastAsia="en-GB"/>
              </w:rPr>
              <w:tab/>
            </w:r>
            <w:r w:rsidR="005802ED" w:rsidRPr="00F37C81">
              <w:rPr>
                <w:rStyle w:val="Hyperlink"/>
                <w:rFonts w:ascii="Arial" w:hAnsi="Arial" w:cs="Arial"/>
                <w:noProof/>
              </w:rPr>
              <w:t>INTRODUCTION</w:t>
            </w:r>
            <w:r w:rsidR="005802ED">
              <w:rPr>
                <w:noProof/>
                <w:webHidden/>
              </w:rPr>
              <w:tab/>
            </w:r>
            <w:r w:rsidR="005802ED">
              <w:rPr>
                <w:noProof/>
                <w:webHidden/>
              </w:rPr>
              <w:fldChar w:fldCharType="begin"/>
            </w:r>
            <w:r w:rsidR="005802ED">
              <w:rPr>
                <w:noProof/>
                <w:webHidden/>
              </w:rPr>
              <w:instrText xml:space="preserve"> PAGEREF _Toc68001642 \h </w:instrText>
            </w:r>
            <w:r w:rsidR="005802ED">
              <w:rPr>
                <w:noProof/>
                <w:webHidden/>
              </w:rPr>
            </w:r>
            <w:r w:rsidR="005802ED">
              <w:rPr>
                <w:noProof/>
                <w:webHidden/>
              </w:rPr>
              <w:fldChar w:fldCharType="separate"/>
            </w:r>
            <w:r w:rsidR="005802ED">
              <w:rPr>
                <w:noProof/>
                <w:webHidden/>
              </w:rPr>
              <w:t>3</w:t>
            </w:r>
            <w:r w:rsidR="005802ED">
              <w:rPr>
                <w:noProof/>
                <w:webHidden/>
              </w:rPr>
              <w:fldChar w:fldCharType="end"/>
            </w:r>
          </w:hyperlink>
        </w:p>
        <w:p w14:paraId="1B310AFE" w14:textId="3AF487F3" w:rsidR="005802ED" w:rsidRDefault="005802ED">
          <w:pPr>
            <w:pStyle w:val="TOC1"/>
            <w:tabs>
              <w:tab w:val="left" w:pos="660"/>
              <w:tab w:val="right" w:leader="dot" w:pos="9016"/>
            </w:tabs>
            <w:rPr>
              <w:rFonts w:eastAsiaTheme="minorEastAsia"/>
              <w:noProof/>
              <w:lang w:eastAsia="en-GB"/>
            </w:rPr>
          </w:pPr>
          <w:hyperlink w:anchor="_Toc68001643" w:history="1">
            <w:r w:rsidRPr="00F37C81">
              <w:rPr>
                <w:rStyle w:val="Hyperlink"/>
                <w:rFonts w:ascii="Arial" w:hAnsi="Arial" w:cs="Arial"/>
                <w:noProof/>
              </w:rPr>
              <w:t>2.0</w:t>
            </w:r>
            <w:r>
              <w:rPr>
                <w:rFonts w:eastAsiaTheme="minorEastAsia"/>
                <w:noProof/>
                <w:lang w:eastAsia="en-GB"/>
              </w:rPr>
              <w:tab/>
            </w:r>
            <w:r w:rsidRPr="00F37C81">
              <w:rPr>
                <w:rStyle w:val="Hyperlink"/>
                <w:rFonts w:ascii="Arial" w:hAnsi="Arial" w:cs="Arial"/>
                <w:noProof/>
              </w:rPr>
              <w:t xml:space="preserve">NHS DERBY AND DERBYSHIRE </w:t>
            </w:r>
            <w:r w:rsidR="00BF09DD">
              <w:rPr>
                <w:rStyle w:val="Hyperlink"/>
                <w:rFonts w:ascii="Arial" w:hAnsi="Arial" w:cs="Arial"/>
                <w:noProof/>
              </w:rPr>
              <w:t>ICB</w:t>
            </w:r>
            <w:r>
              <w:rPr>
                <w:noProof/>
                <w:webHidden/>
              </w:rPr>
              <w:tab/>
            </w:r>
            <w:r>
              <w:rPr>
                <w:noProof/>
                <w:webHidden/>
              </w:rPr>
              <w:fldChar w:fldCharType="begin"/>
            </w:r>
            <w:r>
              <w:rPr>
                <w:noProof/>
                <w:webHidden/>
              </w:rPr>
              <w:instrText xml:space="preserve"> PAGEREF _Toc68001643 \h </w:instrText>
            </w:r>
            <w:r>
              <w:rPr>
                <w:noProof/>
                <w:webHidden/>
              </w:rPr>
            </w:r>
            <w:r>
              <w:rPr>
                <w:noProof/>
                <w:webHidden/>
              </w:rPr>
              <w:fldChar w:fldCharType="separate"/>
            </w:r>
            <w:r>
              <w:rPr>
                <w:noProof/>
                <w:webHidden/>
              </w:rPr>
              <w:t>4</w:t>
            </w:r>
            <w:r>
              <w:rPr>
                <w:noProof/>
                <w:webHidden/>
              </w:rPr>
              <w:fldChar w:fldCharType="end"/>
            </w:r>
          </w:hyperlink>
        </w:p>
        <w:p w14:paraId="437F5FC1" w14:textId="77777777" w:rsidR="005802ED" w:rsidRDefault="005802ED">
          <w:pPr>
            <w:pStyle w:val="TOC1"/>
            <w:tabs>
              <w:tab w:val="left" w:pos="660"/>
              <w:tab w:val="right" w:leader="dot" w:pos="9016"/>
            </w:tabs>
            <w:rPr>
              <w:rFonts w:eastAsiaTheme="minorEastAsia"/>
              <w:noProof/>
              <w:lang w:eastAsia="en-GB"/>
            </w:rPr>
          </w:pPr>
          <w:hyperlink w:anchor="_Toc68001644" w:history="1">
            <w:r w:rsidRPr="00F37C81">
              <w:rPr>
                <w:rStyle w:val="Hyperlink"/>
                <w:rFonts w:ascii="Arial" w:hAnsi="Arial" w:cs="Arial"/>
                <w:noProof/>
              </w:rPr>
              <w:t>3.0</w:t>
            </w:r>
            <w:r>
              <w:rPr>
                <w:rFonts w:eastAsiaTheme="minorEastAsia"/>
                <w:noProof/>
                <w:lang w:eastAsia="en-GB"/>
              </w:rPr>
              <w:tab/>
            </w:r>
            <w:r w:rsidRPr="00F37C81">
              <w:rPr>
                <w:rStyle w:val="Hyperlink"/>
                <w:rFonts w:ascii="Arial" w:hAnsi="Arial" w:cs="Arial"/>
                <w:noProof/>
              </w:rPr>
              <w:t>WORKERS IN SCOPE</w:t>
            </w:r>
            <w:r>
              <w:rPr>
                <w:noProof/>
                <w:webHidden/>
              </w:rPr>
              <w:tab/>
            </w:r>
            <w:r>
              <w:rPr>
                <w:noProof/>
                <w:webHidden/>
              </w:rPr>
              <w:fldChar w:fldCharType="begin"/>
            </w:r>
            <w:r>
              <w:rPr>
                <w:noProof/>
                <w:webHidden/>
              </w:rPr>
              <w:instrText xml:space="preserve"> PAGEREF _Toc68001644 \h </w:instrText>
            </w:r>
            <w:r>
              <w:rPr>
                <w:noProof/>
                <w:webHidden/>
              </w:rPr>
            </w:r>
            <w:r>
              <w:rPr>
                <w:noProof/>
                <w:webHidden/>
              </w:rPr>
              <w:fldChar w:fldCharType="separate"/>
            </w:r>
            <w:r>
              <w:rPr>
                <w:noProof/>
                <w:webHidden/>
              </w:rPr>
              <w:t>4</w:t>
            </w:r>
            <w:r>
              <w:rPr>
                <w:noProof/>
                <w:webHidden/>
              </w:rPr>
              <w:fldChar w:fldCharType="end"/>
            </w:r>
          </w:hyperlink>
        </w:p>
        <w:p w14:paraId="088952C6" w14:textId="77777777" w:rsidR="005802ED" w:rsidRDefault="005802ED">
          <w:pPr>
            <w:pStyle w:val="TOC1"/>
            <w:tabs>
              <w:tab w:val="left" w:pos="660"/>
              <w:tab w:val="right" w:leader="dot" w:pos="9016"/>
            </w:tabs>
            <w:rPr>
              <w:rFonts w:eastAsiaTheme="minorEastAsia"/>
              <w:noProof/>
              <w:lang w:eastAsia="en-GB"/>
            </w:rPr>
          </w:pPr>
          <w:hyperlink w:anchor="_Toc68001645" w:history="1">
            <w:r w:rsidRPr="00F37C81">
              <w:rPr>
                <w:rStyle w:val="Hyperlink"/>
                <w:rFonts w:ascii="Arial" w:hAnsi="Arial" w:cs="Arial"/>
                <w:noProof/>
              </w:rPr>
              <w:t>4.0</w:t>
            </w:r>
            <w:r>
              <w:rPr>
                <w:rFonts w:eastAsiaTheme="minorEastAsia"/>
                <w:noProof/>
                <w:lang w:eastAsia="en-GB"/>
              </w:rPr>
              <w:tab/>
            </w:r>
            <w:r w:rsidRPr="00F37C81">
              <w:rPr>
                <w:rStyle w:val="Hyperlink"/>
                <w:rFonts w:ascii="Arial" w:hAnsi="Arial" w:cs="Arial"/>
                <w:noProof/>
              </w:rPr>
              <w:t>GENDER PROFILE</w:t>
            </w:r>
            <w:r>
              <w:rPr>
                <w:noProof/>
                <w:webHidden/>
              </w:rPr>
              <w:tab/>
            </w:r>
            <w:r>
              <w:rPr>
                <w:noProof/>
                <w:webHidden/>
              </w:rPr>
              <w:fldChar w:fldCharType="begin"/>
            </w:r>
            <w:r>
              <w:rPr>
                <w:noProof/>
                <w:webHidden/>
              </w:rPr>
              <w:instrText xml:space="preserve"> PAGEREF _Toc68001645 \h </w:instrText>
            </w:r>
            <w:r>
              <w:rPr>
                <w:noProof/>
                <w:webHidden/>
              </w:rPr>
            </w:r>
            <w:r>
              <w:rPr>
                <w:noProof/>
                <w:webHidden/>
              </w:rPr>
              <w:fldChar w:fldCharType="separate"/>
            </w:r>
            <w:r>
              <w:rPr>
                <w:noProof/>
                <w:webHidden/>
              </w:rPr>
              <w:t>5</w:t>
            </w:r>
            <w:r>
              <w:rPr>
                <w:noProof/>
                <w:webHidden/>
              </w:rPr>
              <w:fldChar w:fldCharType="end"/>
            </w:r>
          </w:hyperlink>
        </w:p>
        <w:p w14:paraId="17391960" w14:textId="77777777" w:rsidR="005802ED" w:rsidRDefault="005802ED">
          <w:pPr>
            <w:pStyle w:val="TOC1"/>
            <w:tabs>
              <w:tab w:val="left" w:pos="660"/>
              <w:tab w:val="right" w:leader="dot" w:pos="9016"/>
            </w:tabs>
            <w:rPr>
              <w:rFonts w:eastAsiaTheme="minorEastAsia"/>
              <w:noProof/>
              <w:lang w:eastAsia="en-GB"/>
            </w:rPr>
          </w:pPr>
          <w:hyperlink w:anchor="_Toc68001646" w:history="1">
            <w:r w:rsidRPr="00F37C81">
              <w:rPr>
                <w:rStyle w:val="Hyperlink"/>
                <w:rFonts w:ascii="Arial" w:hAnsi="Arial" w:cs="Arial"/>
                <w:noProof/>
              </w:rPr>
              <w:t>5.0</w:t>
            </w:r>
            <w:r>
              <w:rPr>
                <w:rFonts w:eastAsiaTheme="minorEastAsia"/>
                <w:noProof/>
                <w:lang w:eastAsia="en-GB"/>
              </w:rPr>
              <w:tab/>
            </w:r>
            <w:r w:rsidRPr="00F37C81">
              <w:rPr>
                <w:rStyle w:val="Hyperlink"/>
                <w:rFonts w:ascii="Arial" w:hAnsi="Arial" w:cs="Arial"/>
                <w:noProof/>
              </w:rPr>
              <w:t>ANALYSIS BY SEX AND PAY BAND</w:t>
            </w:r>
            <w:r>
              <w:rPr>
                <w:noProof/>
                <w:webHidden/>
              </w:rPr>
              <w:tab/>
            </w:r>
            <w:r>
              <w:rPr>
                <w:noProof/>
                <w:webHidden/>
              </w:rPr>
              <w:fldChar w:fldCharType="begin"/>
            </w:r>
            <w:r>
              <w:rPr>
                <w:noProof/>
                <w:webHidden/>
              </w:rPr>
              <w:instrText xml:space="preserve"> PAGEREF _Toc68001646 \h </w:instrText>
            </w:r>
            <w:r>
              <w:rPr>
                <w:noProof/>
                <w:webHidden/>
              </w:rPr>
            </w:r>
            <w:r>
              <w:rPr>
                <w:noProof/>
                <w:webHidden/>
              </w:rPr>
              <w:fldChar w:fldCharType="separate"/>
            </w:r>
            <w:r>
              <w:rPr>
                <w:noProof/>
                <w:webHidden/>
              </w:rPr>
              <w:t>7</w:t>
            </w:r>
            <w:r>
              <w:rPr>
                <w:noProof/>
                <w:webHidden/>
              </w:rPr>
              <w:fldChar w:fldCharType="end"/>
            </w:r>
          </w:hyperlink>
        </w:p>
        <w:p w14:paraId="048F2822" w14:textId="77777777" w:rsidR="005802ED" w:rsidRDefault="005802ED">
          <w:pPr>
            <w:pStyle w:val="TOC1"/>
            <w:tabs>
              <w:tab w:val="left" w:pos="660"/>
              <w:tab w:val="right" w:leader="dot" w:pos="9016"/>
            </w:tabs>
            <w:rPr>
              <w:rFonts w:eastAsiaTheme="minorEastAsia"/>
              <w:noProof/>
              <w:lang w:eastAsia="en-GB"/>
            </w:rPr>
          </w:pPr>
          <w:hyperlink w:anchor="_Toc68001647" w:history="1">
            <w:r w:rsidRPr="00F37C81">
              <w:rPr>
                <w:rStyle w:val="Hyperlink"/>
                <w:rFonts w:ascii="Arial" w:hAnsi="Arial" w:cs="Arial"/>
                <w:noProof/>
              </w:rPr>
              <w:t>6.0</w:t>
            </w:r>
            <w:r>
              <w:rPr>
                <w:rFonts w:eastAsiaTheme="minorEastAsia"/>
                <w:noProof/>
                <w:lang w:eastAsia="en-GB"/>
              </w:rPr>
              <w:tab/>
            </w:r>
            <w:r w:rsidRPr="00F37C81">
              <w:rPr>
                <w:rStyle w:val="Hyperlink"/>
                <w:rFonts w:ascii="Arial" w:hAnsi="Arial" w:cs="Arial"/>
                <w:noProof/>
              </w:rPr>
              <w:t>GENDER PAY GAP</w:t>
            </w:r>
            <w:r>
              <w:rPr>
                <w:noProof/>
                <w:webHidden/>
              </w:rPr>
              <w:tab/>
            </w:r>
            <w:r>
              <w:rPr>
                <w:noProof/>
                <w:webHidden/>
              </w:rPr>
              <w:fldChar w:fldCharType="begin"/>
            </w:r>
            <w:r>
              <w:rPr>
                <w:noProof/>
                <w:webHidden/>
              </w:rPr>
              <w:instrText xml:space="preserve"> PAGEREF _Toc68001647 \h </w:instrText>
            </w:r>
            <w:r>
              <w:rPr>
                <w:noProof/>
                <w:webHidden/>
              </w:rPr>
            </w:r>
            <w:r>
              <w:rPr>
                <w:noProof/>
                <w:webHidden/>
              </w:rPr>
              <w:fldChar w:fldCharType="separate"/>
            </w:r>
            <w:r>
              <w:rPr>
                <w:noProof/>
                <w:webHidden/>
              </w:rPr>
              <w:t>7</w:t>
            </w:r>
            <w:r>
              <w:rPr>
                <w:noProof/>
                <w:webHidden/>
              </w:rPr>
              <w:fldChar w:fldCharType="end"/>
            </w:r>
          </w:hyperlink>
        </w:p>
        <w:p w14:paraId="030352EF" w14:textId="77777777" w:rsidR="005802ED" w:rsidRDefault="005802ED">
          <w:pPr>
            <w:pStyle w:val="TOC1"/>
            <w:tabs>
              <w:tab w:val="left" w:pos="660"/>
              <w:tab w:val="right" w:leader="dot" w:pos="9016"/>
            </w:tabs>
            <w:rPr>
              <w:rFonts w:eastAsiaTheme="minorEastAsia"/>
              <w:noProof/>
              <w:lang w:eastAsia="en-GB"/>
            </w:rPr>
          </w:pPr>
          <w:hyperlink w:anchor="_Toc68001648" w:history="1">
            <w:r w:rsidRPr="00F37C81">
              <w:rPr>
                <w:rStyle w:val="Hyperlink"/>
                <w:rFonts w:ascii="Arial" w:hAnsi="Arial" w:cs="Arial"/>
                <w:noProof/>
              </w:rPr>
              <w:t>7.0</w:t>
            </w:r>
            <w:r>
              <w:rPr>
                <w:rFonts w:eastAsiaTheme="minorEastAsia"/>
                <w:noProof/>
                <w:lang w:eastAsia="en-GB"/>
              </w:rPr>
              <w:tab/>
            </w:r>
            <w:r w:rsidRPr="00F37C81">
              <w:rPr>
                <w:rStyle w:val="Hyperlink"/>
                <w:rFonts w:ascii="Arial" w:hAnsi="Arial" w:cs="Arial"/>
                <w:noProof/>
              </w:rPr>
              <w:t>BONUS GENDER PAY GAP</w:t>
            </w:r>
            <w:r>
              <w:rPr>
                <w:noProof/>
                <w:webHidden/>
              </w:rPr>
              <w:tab/>
            </w:r>
            <w:r>
              <w:rPr>
                <w:noProof/>
                <w:webHidden/>
              </w:rPr>
              <w:fldChar w:fldCharType="begin"/>
            </w:r>
            <w:r>
              <w:rPr>
                <w:noProof/>
                <w:webHidden/>
              </w:rPr>
              <w:instrText xml:space="preserve"> PAGEREF _Toc68001648 \h </w:instrText>
            </w:r>
            <w:r>
              <w:rPr>
                <w:noProof/>
                <w:webHidden/>
              </w:rPr>
            </w:r>
            <w:r>
              <w:rPr>
                <w:noProof/>
                <w:webHidden/>
              </w:rPr>
              <w:fldChar w:fldCharType="separate"/>
            </w:r>
            <w:r>
              <w:rPr>
                <w:noProof/>
                <w:webHidden/>
              </w:rPr>
              <w:t>8</w:t>
            </w:r>
            <w:r>
              <w:rPr>
                <w:noProof/>
                <w:webHidden/>
              </w:rPr>
              <w:fldChar w:fldCharType="end"/>
            </w:r>
          </w:hyperlink>
        </w:p>
        <w:p w14:paraId="31913F3E" w14:textId="77777777" w:rsidR="005802ED" w:rsidRDefault="005802ED">
          <w:pPr>
            <w:pStyle w:val="TOC1"/>
            <w:tabs>
              <w:tab w:val="left" w:pos="660"/>
              <w:tab w:val="right" w:leader="dot" w:pos="9016"/>
            </w:tabs>
            <w:rPr>
              <w:rFonts w:eastAsiaTheme="minorEastAsia"/>
              <w:noProof/>
              <w:lang w:eastAsia="en-GB"/>
            </w:rPr>
          </w:pPr>
          <w:hyperlink w:anchor="_Toc68001649" w:history="1">
            <w:r w:rsidRPr="00F37C81">
              <w:rPr>
                <w:rStyle w:val="Hyperlink"/>
                <w:rFonts w:ascii="Arial" w:hAnsi="Arial" w:cs="Arial"/>
                <w:noProof/>
              </w:rPr>
              <w:t>8.0</w:t>
            </w:r>
            <w:r>
              <w:rPr>
                <w:rFonts w:eastAsiaTheme="minorEastAsia"/>
                <w:noProof/>
                <w:lang w:eastAsia="en-GB"/>
              </w:rPr>
              <w:tab/>
            </w:r>
            <w:r w:rsidRPr="00F37C81">
              <w:rPr>
                <w:rStyle w:val="Hyperlink"/>
                <w:rFonts w:ascii="Arial" w:hAnsi="Arial" w:cs="Arial"/>
                <w:noProof/>
              </w:rPr>
              <w:t>ACTIONS TO REMOVE THE GENDER PAY GAP (IF NEEDED)</w:t>
            </w:r>
            <w:r>
              <w:rPr>
                <w:noProof/>
                <w:webHidden/>
              </w:rPr>
              <w:tab/>
            </w:r>
            <w:r>
              <w:rPr>
                <w:noProof/>
                <w:webHidden/>
              </w:rPr>
              <w:fldChar w:fldCharType="begin"/>
            </w:r>
            <w:r>
              <w:rPr>
                <w:noProof/>
                <w:webHidden/>
              </w:rPr>
              <w:instrText xml:space="preserve"> PAGEREF _Toc68001649 \h </w:instrText>
            </w:r>
            <w:r>
              <w:rPr>
                <w:noProof/>
                <w:webHidden/>
              </w:rPr>
            </w:r>
            <w:r>
              <w:rPr>
                <w:noProof/>
                <w:webHidden/>
              </w:rPr>
              <w:fldChar w:fldCharType="separate"/>
            </w:r>
            <w:r>
              <w:rPr>
                <w:noProof/>
                <w:webHidden/>
              </w:rPr>
              <w:t>8</w:t>
            </w:r>
            <w:r>
              <w:rPr>
                <w:noProof/>
                <w:webHidden/>
              </w:rPr>
              <w:fldChar w:fldCharType="end"/>
            </w:r>
          </w:hyperlink>
        </w:p>
        <w:p w14:paraId="2C33EBA5" w14:textId="77777777" w:rsidR="006B7CAD" w:rsidRDefault="006B7CAD">
          <w:r>
            <w:rPr>
              <w:b/>
              <w:bCs/>
              <w:noProof/>
            </w:rPr>
            <w:fldChar w:fldCharType="end"/>
          </w:r>
        </w:p>
      </w:sdtContent>
    </w:sdt>
    <w:p w14:paraId="5EE3D34F" w14:textId="77777777" w:rsidR="00E700ED" w:rsidRDefault="00E700ED">
      <w:r>
        <w:br w:type="page"/>
      </w:r>
    </w:p>
    <w:p w14:paraId="652E6AA5" w14:textId="77777777" w:rsidR="00E700ED" w:rsidRPr="003C43AC" w:rsidRDefault="00E700ED" w:rsidP="003C43AC">
      <w:pPr>
        <w:pStyle w:val="Heading1"/>
        <w:spacing w:before="120" w:after="120"/>
        <w:rPr>
          <w:rFonts w:ascii="Arial" w:hAnsi="Arial" w:cs="Arial"/>
          <w:color w:val="auto"/>
          <w:sz w:val="24"/>
          <w:szCs w:val="24"/>
        </w:rPr>
      </w:pPr>
      <w:bookmarkStart w:id="0" w:name="_Toc68001642"/>
      <w:r w:rsidRPr="003C43AC">
        <w:rPr>
          <w:rFonts w:ascii="Arial" w:hAnsi="Arial" w:cs="Arial"/>
          <w:color w:val="auto"/>
          <w:sz w:val="24"/>
          <w:szCs w:val="24"/>
        </w:rPr>
        <w:lastRenderedPageBreak/>
        <w:t>1.0</w:t>
      </w:r>
      <w:r w:rsidRPr="003C43AC">
        <w:rPr>
          <w:rFonts w:ascii="Arial" w:hAnsi="Arial" w:cs="Arial"/>
          <w:color w:val="auto"/>
          <w:sz w:val="24"/>
          <w:szCs w:val="24"/>
        </w:rPr>
        <w:tab/>
        <w:t>INTRODUCTION</w:t>
      </w:r>
      <w:bookmarkEnd w:id="0"/>
    </w:p>
    <w:p w14:paraId="40BE19D4" w14:textId="77777777" w:rsidR="005764B9" w:rsidRDefault="00E700ED" w:rsidP="00E700ED">
      <w:pPr>
        <w:rPr>
          <w:rFonts w:ascii="Arial" w:hAnsi="Arial" w:cs="Arial"/>
          <w:sz w:val="24"/>
          <w:szCs w:val="24"/>
        </w:rPr>
      </w:pPr>
      <w:r w:rsidRPr="00E700ED">
        <w:rPr>
          <w:rFonts w:ascii="Arial" w:hAnsi="Arial" w:cs="Arial"/>
          <w:sz w:val="24"/>
          <w:szCs w:val="24"/>
        </w:rPr>
        <w:t>In 2017, the Government introduced legislation that made it statutory for organisations with 250 or more employees to report annually on their gender pay gap</w:t>
      </w:r>
      <w:r w:rsidR="005764B9">
        <w:rPr>
          <w:rFonts w:ascii="Arial" w:hAnsi="Arial" w:cs="Arial"/>
          <w:sz w:val="24"/>
          <w:szCs w:val="24"/>
        </w:rPr>
        <w:t xml:space="preserve"> (GPG)</w:t>
      </w:r>
      <w:r w:rsidRPr="00E700ED">
        <w:rPr>
          <w:rFonts w:ascii="Arial" w:hAnsi="Arial" w:cs="Arial"/>
          <w:sz w:val="24"/>
          <w:szCs w:val="24"/>
        </w:rPr>
        <w:t xml:space="preserve">. </w:t>
      </w:r>
    </w:p>
    <w:p w14:paraId="57F1A458" w14:textId="77777777" w:rsidR="005764B9" w:rsidRDefault="005764B9" w:rsidP="005764B9">
      <w:pPr>
        <w:rPr>
          <w:rFonts w:ascii="Arial" w:hAnsi="Arial" w:cs="Arial"/>
          <w:sz w:val="24"/>
          <w:szCs w:val="24"/>
        </w:rPr>
      </w:pPr>
      <w:r w:rsidRPr="005764B9">
        <w:rPr>
          <w:rFonts w:ascii="Arial" w:hAnsi="Arial" w:cs="Arial"/>
          <w:sz w:val="24"/>
          <w:szCs w:val="24"/>
        </w:rPr>
        <w:t>The aim of GPG reporting is to show the</w:t>
      </w:r>
      <w:r>
        <w:rPr>
          <w:rFonts w:ascii="Arial" w:hAnsi="Arial" w:cs="Arial"/>
          <w:sz w:val="24"/>
          <w:szCs w:val="24"/>
        </w:rPr>
        <w:t xml:space="preserve"> </w:t>
      </w:r>
      <w:r w:rsidRPr="005764B9">
        <w:rPr>
          <w:rFonts w:ascii="Arial" w:hAnsi="Arial" w:cs="Arial"/>
          <w:sz w:val="24"/>
          <w:szCs w:val="24"/>
        </w:rPr>
        <w:t>difference between what women get paid at a</w:t>
      </w:r>
      <w:r>
        <w:rPr>
          <w:rFonts w:ascii="Arial" w:hAnsi="Arial" w:cs="Arial"/>
          <w:sz w:val="24"/>
          <w:szCs w:val="24"/>
        </w:rPr>
        <w:t xml:space="preserve"> </w:t>
      </w:r>
      <w:r w:rsidRPr="005764B9">
        <w:rPr>
          <w:rFonts w:ascii="Arial" w:hAnsi="Arial" w:cs="Arial"/>
          <w:sz w:val="24"/>
          <w:szCs w:val="24"/>
        </w:rPr>
        <w:t>workplace and what men get paid at the same</w:t>
      </w:r>
      <w:r>
        <w:rPr>
          <w:rFonts w:ascii="Arial" w:hAnsi="Arial" w:cs="Arial"/>
          <w:sz w:val="24"/>
          <w:szCs w:val="24"/>
        </w:rPr>
        <w:t xml:space="preserve"> </w:t>
      </w:r>
      <w:r w:rsidRPr="005764B9">
        <w:rPr>
          <w:rFonts w:ascii="Arial" w:hAnsi="Arial" w:cs="Arial"/>
          <w:sz w:val="24"/>
          <w:szCs w:val="24"/>
        </w:rPr>
        <w:t>organisation, irrespective of their jobs.</w:t>
      </w:r>
    </w:p>
    <w:p w14:paraId="6C3AA500" w14:textId="77777777" w:rsidR="005764B9" w:rsidRDefault="00E700ED" w:rsidP="005764B9">
      <w:pPr>
        <w:rPr>
          <w:rFonts w:ascii="Arial" w:hAnsi="Arial" w:cs="Arial"/>
          <w:sz w:val="24"/>
          <w:szCs w:val="24"/>
        </w:rPr>
      </w:pPr>
      <w:r w:rsidRPr="00E700ED">
        <w:rPr>
          <w:rFonts w:ascii="Arial" w:hAnsi="Arial" w:cs="Arial"/>
          <w:sz w:val="24"/>
          <w:szCs w:val="24"/>
        </w:rPr>
        <w:t xml:space="preserve">The gender </w:t>
      </w:r>
      <w:proofErr w:type="gramStart"/>
      <w:r w:rsidRPr="00E700ED">
        <w:rPr>
          <w:rFonts w:ascii="Arial" w:hAnsi="Arial" w:cs="Arial"/>
          <w:sz w:val="24"/>
          <w:szCs w:val="24"/>
        </w:rPr>
        <w:t>pay</w:t>
      </w:r>
      <w:proofErr w:type="gramEnd"/>
      <w:r w:rsidRPr="00E700ED">
        <w:rPr>
          <w:rFonts w:ascii="Arial" w:hAnsi="Arial" w:cs="Arial"/>
          <w:sz w:val="24"/>
          <w:szCs w:val="24"/>
        </w:rPr>
        <w:t xml:space="preserve"> gap shows the difference in the average pay between all men and women in a workforce. </w:t>
      </w:r>
      <w:r w:rsidR="005764B9" w:rsidRPr="00092ED7">
        <w:rPr>
          <w:rFonts w:ascii="Arial" w:hAnsi="Arial" w:cs="Arial"/>
          <w:sz w:val="24"/>
          <w:szCs w:val="24"/>
        </w:rPr>
        <w:t>It is therefore possible to have genuine pay equality but still have a pay gap between the genders.</w:t>
      </w:r>
    </w:p>
    <w:p w14:paraId="20D8D375" w14:textId="77777777" w:rsidR="005764B9" w:rsidRDefault="005764B9" w:rsidP="005764B9">
      <w:pPr>
        <w:rPr>
          <w:rFonts w:ascii="Arial" w:hAnsi="Arial" w:cs="Arial"/>
          <w:sz w:val="24"/>
          <w:szCs w:val="24"/>
        </w:rPr>
      </w:pPr>
      <w:r w:rsidRPr="00092ED7">
        <w:rPr>
          <w:rFonts w:ascii="Arial" w:hAnsi="Arial" w:cs="Arial"/>
          <w:sz w:val="24"/>
          <w:szCs w:val="24"/>
        </w:rPr>
        <w:t xml:space="preserve">Gender </w:t>
      </w:r>
      <w:proofErr w:type="gramStart"/>
      <w:r w:rsidRPr="00092ED7">
        <w:rPr>
          <w:rFonts w:ascii="Arial" w:hAnsi="Arial" w:cs="Arial"/>
          <w:sz w:val="24"/>
          <w:szCs w:val="24"/>
        </w:rPr>
        <w:t>pay</w:t>
      </w:r>
      <w:proofErr w:type="gramEnd"/>
      <w:r w:rsidRPr="00092ED7">
        <w:rPr>
          <w:rFonts w:ascii="Arial" w:hAnsi="Arial" w:cs="Arial"/>
          <w:sz w:val="24"/>
          <w:szCs w:val="24"/>
        </w:rPr>
        <w:t xml:space="preserve"> reporting is different to equal pay. Equal pay deals with the pay differences between men and women who carry out the same jobs, similar jobs or work of equal value.  It is unlawful to pay people unequally because they are a man or a woman. </w:t>
      </w:r>
    </w:p>
    <w:p w14:paraId="3934FD0E" w14:textId="77777777" w:rsidR="000A3CB8" w:rsidRDefault="000A3CB8" w:rsidP="000A3CB8">
      <w:pPr>
        <w:rPr>
          <w:rFonts w:ascii="Arial" w:hAnsi="Arial" w:cs="Arial"/>
          <w:sz w:val="24"/>
          <w:szCs w:val="24"/>
        </w:rPr>
      </w:pPr>
      <w:r w:rsidRPr="000A3CB8">
        <w:rPr>
          <w:rFonts w:ascii="Arial" w:hAnsi="Arial" w:cs="Arial"/>
          <w:sz w:val="24"/>
          <w:szCs w:val="24"/>
        </w:rPr>
        <w:t xml:space="preserve">The </w:t>
      </w:r>
      <w:r w:rsidRPr="000A3CB8">
        <w:rPr>
          <w:rFonts w:ascii="Arial" w:hAnsi="Arial" w:cs="Arial"/>
          <w:b/>
          <w:sz w:val="24"/>
          <w:szCs w:val="24"/>
        </w:rPr>
        <w:t>median pay gap</w:t>
      </w:r>
      <w:r w:rsidRPr="000A3CB8">
        <w:rPr>
          <w:rFonts w:ascii="Arial" w:hAnsi="Arial" w:cs="Arial"/>
          <w:sz w:val="24"/>
          <w:szCs w:val="24"/>
        </w:rPr>
        <w:t xml:space="preserve"> is the difference between</w:t>
      </w:r>
      <w:r>
        <w:rPr>
          <w:rFonts w:ascii="Arial" w:hAnsi="Arial" w:cs="Arial"/>
          <w:sz w:val="24"/>
          <w:szCs w:val="24"/>
        </w:rPr>
        <w:t xml:space="preserve"> </w:t>
      </w:r>
      <w:r w:rsidRPr="000A3CB8">
        <w:rPr>
          <w:rFonts w:ascii="Arial" w:hAnsi="Arial" w:cs="Arial"/>
          <w:sz w:val="24"/>
          <w:szCs w:val="24"/>
        </w:rPr>
        <w:t>the midpoints in the pay bands of hourly</w:t>
      </w:r>
      <w:r>
        <w:rPr>
          <w:rFonts w:ascii="Arial" w:hAnsi="Arial" w:cs="Arial"/>
          <w:sz w:val="24"/>
          <w:szCs w:val="24"/>
        </w:rPr>
        <w:t xml:space="preserve"> </w:t>
      </w:r>
      <w:r w:rsidRPr="000A3CB8">
        <w:rPr>
          <w:rFonts w:ascii="Arial" w:hAnsi="Arial" w:cs="Arial"/>
          <w:sz w:val="24"/>
          <w:szCs w:val="24"/>
        </w:rPr>
        <w:t>earnings of men and women.</w:t>
      </w:r>
      <w:r>
        <w:rPr>
          <w:rFonts w:ascii="Arial" w:hAnsi="Arial" w:cs="Arial"/>
          <w:sz w:val="24"/>
          <w:szCs w:val="24"/>
        </w:rPr>
        <w:t xml:space="preserve"> </w:t>
      </w:r>
    </w:p>
    <w:p w14:paraId="40DCDBDA" w14:textId="77777777" w:rsidR="000A3CB8" w:rsidRDefault="000A3CB8" w:rsidP="000A3CB8">
      <w:pPr>
        <w:rPr>
          <w:rFonts w:ascii="Arial" w:hAnsi="Arial" w:cs="Arial"/>
          <w:sz w:val="24"/>
          <w:szCs w:val="24"/>
        </w:rPr>
      </w:pPr>
      <w:r w:rsidRPr="000A3CB8">
        <w:rPr>
          <w:rFonts w:ascii="Arial" w:hAnsi="Arial" w:cs="Arial"/>
          <w:sz w:val="24"/>
          <w:szCs w:val="24"/>
        </w:rPr>
        <w:t xml:space="preserve">The </w:t>
      </w:r>
      <w:r w:rsidRPr="000A3CB8">
        <w:rPr>
          <w:rFonts w:ascii="Arial" w:hAnsi="Arial" w:cs="Arial"/>
          <w:b/>
          <w:sz w:val="24"/>
          <w:szCs w:val="24"/>
        </w:rPr>
        <w:t>mean gender pay gap</w:t>
      </w:r>
      <w:r w:rsidRPr="000A3CB8">
        <w:rPr>
          <w:rFonts w:ascii="Arial" w:hAnsi="Arial" w:cs="Arial"/>
          <w:sz w:val="24"/>
          <w:szCs w:val="24"/>
        </w:rPr>
        <w:t xml:space="preserve"> is the difference</w:t>
      </w:r>
      <w:r>
        <w:rPr>
          <w:rFonts w:ascii="Arial" w:hAnsi="Arial" w:cs="Arial"/>
          <w:sz w:val="24"/>
          <w:szCs w:val="24"/>
        </w:rPr>
        <w:t xml:space="preserve"> </w:t>
      </w:r>
      <w:r w:rsidRPr="000A3CB8">
        <w:rPr>
          <w:rFonts w:ascii="Arial" w:hAnsi="Arial" w:cs="Arial"/>
          <w:sz w:val="24"/>
          <w:szCs w:val="24"/>
        </w:rPr>
        <w:t>between the average hourly earnings of men</w:t>
      </w:r>
      <w:r>
        <w:rPr>
          <w:rFonts w:ascii="Arial" w:hAnsi="Arial" w:cs="Arial"/>
          <w:sz w:val="24"/>
          <w:szCs w:val="24"/>
        </w:rPr>
        <w:t xml:space="preserve"> </w:t>
      </w:r>
      <w:r w:rsidRPr="000A3CB8">
        <w:rPr>
          <w:rFonts w:ascii="Arial" w:hAnsi="Arial" w:cs="Arial"/>
          <w:sz w:val="24"/>
          <w:szCs w:val="24"/>
        </w:rPr>
        <w:t>and women</w:t>
      </w:r>
      <w:r>
        <w:rPr>
          <w:rFonts w:ascii="Arial" w:hAnsi="Arial" w:cs="Arial"/>
          <w:sz w:val="24"/>
          <w:szCs w:val="24"/>
        </w:rPr>
        <w:t>.</w:t>
      </w:r>
    </w:p>
    <w:p w14:paraId="73EB04E5" w14:textId="52104380" w:rsidR="000A3CB8" w:rsidRDefault="000A3CB8" w:rsidP="000A3CB8">
      <w:pPr>
        <w:rPr>
          <w:rFonts w:ascii="Arial" w:hAnsi="Arial" w:cs="Arial"/>
          <w:sz w:val="24"/>
          <w:szCs w:val="24"/>
        </w:rPr>
      </w:pPr>
      <w:r w:rsidRPr="000A3CB8">
        <w:rPr>
          <w:rFonts w:ascii="Arial" w:hAnsi="Arial" w:cs="Arial"/>
          <w:sz w:val="24"/>
          <w:szCs w:val="24"/>
        </w:rPr>
        <w:t>When reviewing our gender pay gap, we also</w:t>
      </w:r>
      <w:r>
        <w:rPr>
          <w:rFonts w:ascii="Arial" w:hAnsi="Arial" w:cs="Arial"/>
          <w:sz w:val="24"/>
          <w:szCs w:val="24"/>
        </w:rPr>
        <w:t xml:space="preserve"> </w:t>
      </w:r>
      <w:r w:rsidRPr="000A3CB8">
        <w:rPr>
          <w:rFonts w:ascii="Arial" w:hAnsi="Arial" w:cs="Arial"/>
          <w:sz w:val="24"/>
          <w:szCs w:val="24"/>
        </w:rPr>
        <w:t>draw up a list of our employees’ earnings, from</w:t>
      </w:r>
      <w:r>
        <w:rPr>
          <w:rFonts w:ascii="Arial" w:hAnsi="Arial" w:cs="Arial"/>
          <w:sz w:val="24"/>
          <w:szCs w:val="24"/>
        </w:rPr>
        <w:t xml:space="preserve"> </w:t>
      </w:r>
      <w:r w:rsidRPr="000A3CB8">
        <w:rPr>
          <w:rFonts w:ascii="Arial" w:hAnsi="Arial" w:cs="Arial"/>
          <w:sz w:val="24"/>
          <w:szCs w:val="24"/>
        </w:rPr>
        <w:t>the highest to the lowest, and split it into four</w:t>
      </w:r>
      <w:r>
        <w:rPr>
          <w:rFonts w:ascii="Arial" w:hAnsi="Arial" w:cs="Arial"/>
          <w:sz w:val="24"/>
          <w:szCs w:val="24"/>
        </w:rPr>
        <w:t xml:space="preserve"> </w:t>
      </w:r>
      <w:r w:rsidRPr="000A3CB8">
        <w:rPr>
          <w:rFonts w:ascii="Arial" w:hAnsi="Arial" w:cs="Arial"/>
          <w:sz w:val="24"/>
          <w:szCs w:val="24"/>
        </w:rPr>
        <w:t xml:space="preserve">even groups, or </w:t>
      </w:r>
      <w:r w:rsidRPr="000A3CB8">
        <w:rPr>
          <w:rFonts w:ascii="Arial" w:hAnsi="Arial" w:cs="Arial"/>
          <w:b/>
          <w:sz w:val="24"/>
          <w:szCs w:val="24"/>
        </w:rPr>
        <w:t>quartile pay bands</w:t>
      </w:r>
      <w:r w:rsidRPr="000A3CB8">
        <w:rPr>
          <w:rFonts w:ascii="Arial" w:hAnsi="Arial" w:cs="Arial"/>
          <w:sz w:val="24"/>
          <w:szCs w:val="24"/>
        </w:rPr>
        <w:t>. These are</w:t>
      </w:r>
      <w:r>
        <w:rPr>
          <w:rFonts w:ascii="Arial" w:hAnsi="Arial" w:cs="Arial"/>
          <w:sz w:val="24"/>
          <w:szCs w:val="24"/>
        </w:rPr>
        <w:t xml:space="preserve"> </w:t>
      </w:r>
      <w:r w:rsidRPr="000A3CB8">
        <w:rPr>
          <w:rFonts w:ascii="Arial" w:hAnsi="Arial" w:cs="Arial"/>
          <w:sz w:val="24"/>
          <w:szCs w:val="24"/>
        </w:rPr>
        <w:t>lower, lower-middle, upper-middle and upper</w:t>
      </w:r>
      <w:r>
        <w:rPr>
          <w:rFonts w:ascii="Arial" w:hAnsi="Arial" w:cs="Arial"/>
          <w:sz w:val="24"/>
          <w:szCs w:val="24"/>
        </w:rPr>
        <w:t xml:space="preserve"> </w:t>
      </w:r>
      <w:r w:rsidRPr="000A3CB8">
        <w:rPr>
          <w:rFonts w:ascii="Arial" w:hAnsi="Arial" w:cs="Arial"/>
          <w:sz w:val="24"/>
          <w:szCs w:val="24"/>
        </w:rPr>
        <w:t>quartile pay bands. This allows us to calculate</w:t>
      </w:r>
      <w:r>
        <w:rPr>
          <w:rFonts w:ascii="Arial" w:hAnsi="Arial" w:cs="Arial"/>
          <w:sz w:val="24"/>
          <w:szCs w:val="24"/>
        </w:rPr>
        <w:t xml:space="preserve"> </w:t>
      </w:r>
      <w:r w:rsidRPr="000A3CB8">
        <w:rPr>
          <w:rFonts w:ascii="Arial" w:hAnsi="Arial" w:cs="Arial"/>
          <w:sz w:val="24"/>
          <w:szCs w:val="24"/>
        </w:rPr>
        <w:t>the proportion of men and women in each</w:t>
      </w:r>
      <w:r>
        <w:rPr>
          <w:rFonts w:ascii="Arial" w:hAnsi="Arial" w:cs="Arial"/>
          <w:sz w:val="24"/>
          <w:szCs w:val="24"/>
        </w:rPr>
        <w:t xml:space="preserve"> </w:t>
      </w:r>
      <w:r w:rsidRPr="000A3CB8">
        <w:rPr>
          <w:rFonts w:ascii="Arial" w:hAnsi="Arial" w:cs="Arial"/>
          <w:sz w:val="24"/>
          <w:szCs w:val="24"/>
        </w:rPr>
        <w:t>quartile, so shows us how pay is spread across</w:t>
      </w:r>
      <w:r>
        <w:rPr>
          <w:rFonts w:ascii="Arial" w:hAnsi="Arial" w:cs="Arial"/>
          <w:sz w:val="24"/>
          <w:szCs w:val="24"/>
        </w:rPr>
        <w:t xml:space="preserve"> </w:t>
      </w:r>
      <w:r w:rsidRPr="000A3CB8">
        <w:rPr>
          <w:rFonts w:ascii="Arial" w:hAnsi="Arial" w:cs="Arial"/>
          <w:sz w:val="24"/>
          <w:szCs w:val="24"/>
        </w:rPr>
        <w:t>the organisation.</w:t>
      </w:r>
    </w:p>
    <w:p w14:paraId="1A27C911" w14:textId="6ED791FE" w:rsidR="000A3CB8" w:rsidRPr="00E700ED" w:rsidRDefault="000A3CB8" w:rsidP="000A3CB8">
      <w:pPr>
        <w:rPr>
          <w:rFonts w:ascii="Arial" w:hAnsi="Arial" w:cs="Arial"/>
          <w:sz w:val="24"/>
          <w:szCs w:val="24"/>
        </w:rPr>
      </w:pPr>
      <w:r>
        <w:rPr>
          <w:rFonts w:ascii="Arial" w:hAnsi="Arial" w:cs="Arial"/>
          <w:sz w:val="24"/>
          <w:szCs w:val="24"/>
        </w:rPr>
        <w:t xml:space="preserve">NHS Derby and Derbyshire </w:t>
      </w:r>
      <w:r w:rsidR="00BF09DD">
        <w:rPr>
          <w:rFonts w:ascii="Arial" w:hAnsi="Arial" w:cs="Arial"/>
          <w:sz w:val="24"/>
          <w:szCs w:val="24"/>
        </w:rPr>
        <w:t>ICB</w:t>
      </w:r>
      <w:r w:rsidRPr="00E700ED">
        <w:rPr>
          <w:rFonts w:ascii="Arial" w:hAnsi="Arial" w:cs="Arial"/>
          <w:sz w:val="24"/>
          <w:szCs w:val="24"/>
        </w:rPr>
        <w:t xml:space="preserve"> support the fair treatment and reward of all staff, irrespective of gender. Our pay approach is based on the principles of consistency, fairness and transparency, supporting the fair treatment and reward of all staff, irrespective of gender.</w:t>
      </w:r>
    </w:p>
    <w:p w14:paraId="03595F08" w14:textId="77777777" w:rsidR="000A3CB8" w:rsidRPr="00E700ED" w:rsidRDefault="000A3CB8" w:rsidP="000A3CB8">
      <w:pPr>
        <w:rPr>
          <w:rFonts w:ascii="Arial" w:hAnsi="Arial" w:cs="Arial"/>
          <w:sz w:val="24"/>
          <w:szCs w:val="24"/>
        </w:rPr>
      </w:pPr>
      <w:r w:rsidRPr="00E700ED">
        <w:rPr>
          <w:rFonts w:ascii="Arial" w:hAnsi="Arial" w:cs="Arial"/>
          <w:sz w:val="24"/>
          <w:szCs w:val="24"/>
        </w:rPr>
        <w:t xml:space="preserve">We are committed to </w:t>
      </w:r>
      <w:r w:rsidR="00EE4585">
        <w:rPr>
          <w:rFonts w:ascii="Arial" w:hAnsi="Arial" w:cs="Arial"/>
          <w:sz w:val="24"/>
          <w:szCs w:val="24"/>
        </w:rPr>
        <w:t>making</w:t>
      </w:r>
      <w:r w:rsidRPr="00E700ED">
        <w:rPr>
          <w:rFonts w:ascii="Arial" w:hAnsi="Arial" w:cs="Arial"/>
          <w:sz w:val="24"/>
          <w:szCs w:val="24"/>
        </w:rPr>
        <w:t xml:space="preserve"> divers</w:t>
      </w:r>
      <w:r w:rsidR="00EE4585">
        <w:rPr>
          <w:rFonts w:ascii="Arial" w:hAnsi="Arial" w:cs="Arial"/>
          <w:sz w:val="24"/>
          <w:szCs w:val="24"/>
        </w:rPr>
        <w:t xml:space="preserve">ity and inclusion part of our DNA </w:t>
      </w:r>
      <w:r w:rsidRPr="00E700ED">
        <w:rPr>
          <w:rFonts w:ascii="Arial" w:hAnsi="Arial" w:cs="Arial"/>
          <w:sz w:val="24"/>
          <w:szCs w:val="24"/>
        </w:rPr>
        <w:t xml:space="preserve">and </w:t>
      </w:r>
      <w:r w:rsidR="00EE4585">
        <w:rPr>
          <w:rFonts w:ascii="Arial" w:hAnsi="Arial" w:cs="Arial"/>
          <w:sz w:val="24"/>
          <w:szCs w:val="24"/>
        </w:rPr>
        <w:t xml:space="preserve">this includes </w:t>
      </w:r>
      <w:r w:rsidRPr="00E700ED">
        <w:rPr>
          <w:rFonts w:ascii="Arial" w:hAnsi="Arial" w:cs="Arial"/>
          <w:sz w:val="24"/>
          <w:szCs w:val="24"/>
        </w:rPr>
        <w:t>understanding and improving our gender pay balance.</w:t>
      </w:r>
    </w:p>
    <w:p w14:paraId="169F5ED2" w14:textId="77777777" w:rsidR="000A3CB8" w:rsidRDefault="000A3CB8">
      <w:pPr>
        <w:rPr>
          <w:rFonts w:ascii="Arial" w:hAnsi="Arial" w:cs="Arial"/>
          <w:sz w:val="24"/>
          <w:szCs w:val="24"/>
        </w:rPr>
      </w:pPr>
      <w:r>
        <w:rPr>
          <w:rFonts w:ascii="Arial" w:hAnsi="Arial" w:cs="Arial"/>
          <w:sz w:val="24"/>
          <w:szCs w:val="24"/>
        </w:rPr>
        <w:br w:type="page"/>
      </w:r>
    </w:p>
    <w:p w14:paraId="7B055881" w14:textId="1E831DAC" w:rsidR="00EE4585" w:rsidRPr="003C43AC" w:rsidRDefault="00EE4585" w:rsidP="00EE4585">
      <w:pPr>
        <w:pStyle w:val="Heading1"/>
        <w:spacing w:before="120" w:after="120"/>
        <w:rPr>
          <w:rFonts w:ascii="Arial" w:hAnsi="Arial" w:cs="Arial"/>
          <w:color w:val="auto"/>
          <w:sz w:val="24"/>
          <w:szCs w:val="24"/>
        </w:rPr>
      </w:pPr>
      <w:bookmarkStart w:id="1" w:name="_Toc68001643"/>
      <w:r>
        <w:rPr>
          <w:rFonts w:ascii="Arial" w:hAnsi="Arial" w:cs="Arial"/>
          <w:color w:val="auto"/>
          <w:sz w:val="24"/>
          <w:szCs w:val="24"/>
        </w:rPr>
        <w:lastRenderedPageBreak/>
        <w:t>2</w:t>
      </w:r>
      <w:r w:rsidRPr="003C43AC">
        <w:rPr>
          <w:rFonts w:ascii="Arial" w:hAnsi="Arial" w:cs="Arial"/>
          <w:color w:val="auto"/>
          <w:sz w:val="24"/>
          <w:szCs w:val="24"/>
        </w:rPr>
        <w:t>.0</w:t>
      </w:r>
      <w:r w:rsidRPr="003C43AC">
        <w:rPr>
          <w:rFonts w:ascii="Arial" w:hAnsi="Arial" w:cs="Arial"/>
          <w:color w:val="auto"/>
          <w:sz w:val="24"/>
          <w:szCs w:val="24"/>
        </w:rPr>
        <w:tab/>
      </w:r>
      <w:r>
        <w:rPr>
          <w:rFonts w:ascii="Arial" w:hAnsi="Arial" w:cs="Arial"/>
          <w:color w:val="auto"/>
          <w:sz w:val="24"/>
          <w:szCs w:val="24"/>
        </w:rPr>
        <w:t xml:space="preserve">NHS DERBY AND DERBYSHIRE </w:t>
      </w:r>
      <w:bookmarkEnd w:id="1"/>
      <w:r w:rsidR="00BF09DD">
        <w:rPr>
          <w:rFonts w:ascii="Arial" w:hAnsi="Arial" w:cs="Arial"/>
          <w:color w:val="auto"/>
          <w:sz w:val="24"/>
          <w:szCs w:val="24"/>
        </w:rPr>
        <w:t>ICB</w:t>
      </w:r>
    </w:p>
    <w:p w14:paraId="1721523D" w14:textId="559EFEB3" w:rsidR="00EC6BEF" w:rsidRDefault="00EC6BEF" w:rsidP="00E700ED">
      <w:pPr>
        <w:rPr>
          <w:rFonts w:ascii="Arial" w:hAnsi="Arial" w:cs="Arial"/>
          <w:sz w:val="24"/>
          <w:szCs w:val="24"/>
        </w:rPr>
      </w:pPr>
      <w:r w:rsidRPr="00EC6BEF">
        <w:rPr>
          <w:rFonts w:ascii="Arial" w:hAnsi="Arial" w:cs="Arial"/>
          <w:sz w:val="24"/>
          <w:szCs w:val="24"/>
        </w:rPr>
        <w:t xml:space="preserve">NHS </w:t>
      </w:r>
      <w:r>
        <w:rPr>
          <w:rFonts w:ascii="Arial" w:hAnsi="Arial" w:cs="Arial"/>
          <w:sz w:val="24"/>
          <w:szCs w:val="24"/>
        </w:rPr>
        <w:t xml:space="preserve">Derby and Derbyshire </w:t>
      </w:r>
      <w:r w:rsidR="00BF09DD">
        <w:rPr>
          <w:rFonts w:ascii="Arial" w:hAnsi="Arial" w:cs="Arial"/>
          <w:sz w:val="24"/>
          <w:szCs w:val="24"/>
        </w:rPr>
        <w:t>ICB</w:t>
      </w:r>
      <w:r w:rsidRPr="00EC6BEF">
        <w:rPr>
          <w:rFonts w:ascii="Arial" w:hAnsi="Arial" w:cs="Arial"/>
          <w:sz w:val="24"/>
          <w:szCs w:val="24"/>
        </w:rPr>
        <w:t xml:space="preserve"> was established on 1 </w:t>
      </w:r>
      <w:r w:rsidR="00BF09DD">
        <w:rPr>
          <w:rFonts w:ascii="Arial" w:hAnsi="Arial" w:cs="Arial"/>
          <w:sz w:val="24"/>
          <w:szCs w:val="24"/>
        </w:rPr>
        <w:t>July 2022</w:t>
      </w:r>
      <w:r w:rsidRPr="00EC6BEF">
        <w:rPr>
          <w:rFonts w:ascii="Arial" w:hAnsi="Arial" w:cs="Arial"/>
          <w:sz w:val="24"/>
          <w:szCs w:val="24"/>
        </w:rPr>
        <w:t xml:space="preserve"> </w:t>
      </w:r>
      <w:r w:rsidR="00BF09DD" w:rsidRPr="00BF09DD">
        <w:rPr>
          <w:rFonts w:ascii="Arial" w:hAnsi="Arial" w:cs="Arial"/>
          <w:sz w:val="24"/>
          <w:szCs w:val="24"/>
        </w:rPr>
        <w:t xml:space="preserve">and is the NHS organisation responsible for planning to meet local health needs, allocating </w:t>
      </w:r>
      <w:r w:rsidR="00BF09DD">
        <w:rPr>
          <w:rFonts w:ascii="Arial" w:hAnsi="Arial" w:cs="Arial"/>
          <w:sz w:val="24"/>
          <w:szCs w:val="24"/>
        </w:rPr>
        <w:t>r</w:t>
      </w:r>
      <w:r w:rsidR="00BF09DD" w:rsidRPr="00BF09DD">
        <w:rPr>
          <w:rFonts w:ascii="Arial" w:hAnsi="Arial" w:cs="Arial"/>
          <w:sz w:val="24"/>
          <w:szCs w:val="24"/>
        </w:rPr>
        <w:t xml:space="preserve">esources, ensuring services are in place to deliver against ambitions, and overseeing delivery of improved outcomes for their population. </w:t>
      </w:r>
      <w:r w:rsidR="00BF09DD">
        <w:rPr>
          <w:rFonts w:ascii="Arial" w:hAnsi="Arial" w:cs="Arial"/>
          <w:sz w:val="24"/>
          <w:szCs w:val="24"/>
        </w:rPr>
        <w:t>T</w:t>
      </w:r>
      <w:r w:rsidR="00BF09DD" w:rsidRPr="00BF09DD">
        <w:rPr>
          <w:rFonts w:ascii="Arial" w:hAnsi="Arial" w:cs="Arial"/>
          <w:sz w:val="24"/>
          <w:szCs w:val="24"/>
        </w:rPr>
        <w:t xml:space="preserve">he ICB is part of the </w:t>
      </w:r>
      <w:proofErr w:type="gramStart"/>
      <w:r w:rsidR="00BF09DD" w:rsidRPr="00BF09DD">
        <w:rPr>
          <w:rFonts w:ascii="Arial" w:hAnsi="Arial" w:cs="Arial"/>
          <w:sz w:val="24"/>
          <w:szCs w:val="24"/>
        </w:rPr>
        <w:t>Joined Up</w:t>
      </w:r>
      <w:proofErr w:type="gramEnd"/>
      <w:r w:rsidR="00BF09DD" w:rsidRPr="00BF09DD">
        <w:rPr>
          <w:rFonts w:ascii="Arial" w:hAnsi="Arial" w:cs="Arial"/>
          <w:sz w:val="24"/>
          <w:szCs w:val="24"/>
        </w:rPr>
        <w:t xml:space="preserve"> Care Derbyshire Integrated Health and Care system</w:t>
      </w:r>
      <w:r w:rsidRPr="00EC6BEF">
        <w:rPr>
          <w:rFonts w:ascii="Arial" w:hAnsi="Arial" w:cs="Arial"/>
          <w:sz w:val="24"/>
          <w:szCs w:val="24"/>
        </w:rPr>
        <w:t xml:space="preserve">. </w:t>
      </w:r>
    </w:p>
    <w:p w14:paraId="745CADEC" w14:textId="51E15132" w:rsidR="00A64754" w:rsidRDefault="00A64754" w:rsidP="00E700ED">
      <w:pPr>
        <w:rPr>
          <w:rFonts w:ascii="Arial" w:hAnsi="Arial" w:cs="Arial"/>
          <w:sz w:val="24"/>
          <w:szCs w:val="24"/>
        </w:rPr>
      </w:pPr>
      <w:r w:rsidRPr="00A64754">
        <w:rPr>
          <w:rFonts w:ascii="Arial" w:hAnsi="Arial" w:cs="Arial"/>
          <w:sz w:val="24"/>
          <w:szCs w:val="24"/>
        </w:rPr>
        <w:t xml:space="preserve">The gender pay gap information was gathered using business intelligence from our Electronic Staff Record, with the snapshot taken on </w:t>
      </w:r>
      <w:r>
        <w:rPr>
          <w:rFonts w:ascii="Arial" w:hAnsi="Arial" w:cs="Arial"/>
          <w:sz w:val="24"/>
          <w:szCs w:val="24"/>
        </w:rPr>
        <w:t>31 March 202</w:t>
      </w:r>
      <w:r w:rsidR="00EE5C19">
        <w:rPr>
          <w:rFonts w:ascii="Arial" w:hAnsi="Arial" w:cs="Arial"/>
          <w:sz w:val="24"/>
          <w:szCs w:val="24"/>
        </w:rPr>
        <w:t>5</w:t>
      </w:r>
      <w:r w:rsidRPr="00A64754">
        <w:rPr>
          <w:rFonts w:ascii="Arial" w:hAnsi="Arial" w:cs="Arial"/>
          <w:sz w:val="24"/>
          <w:szCs w:val="24"/>
        </w:rPr>
        <w:t xml:space="preserve">, which </w:t>
      </w:r>
      <w:r w:rsidR="008443AE">
        <w:rPr>
          <w:rFonts w:ascii="Arial" w:hAnsi="Arial" w:cs="Arial"/>
          <w:sz w:val="24"/>
          <w:szCs w:val="24"/>
        </w:rPr>
        <w:t xml:space="preserve">is the </w:t>
      </w:r>
      <w:r w:rsidR="00EE5C19">
        <w:rPr>
          <w:rFonts w:ascii="Arial" w:hAnsi="Arial" w:cs="Arial"/>
          <w:sz w:val="24"/>
          <w:szCs w:val="24"/>
        </w:rPr>
        <w:t>third</w:t>
      </w:r>
      <w:r w:rsidR="008443AE">
        <w:rPr>
          <w:rFonts w:ascii="Arial" w:hAnsi="Arial" w:cs="Arial"/>
          <w:sz w:val="24"/>
          <w:szCs w:val="24"/>
        </w:rPr>
        <w:t xml:space="preserve"> report we have done as a</w:t>
      </w:r>
      <w:r w:rsidR="00BF09DD">
        <w:rPr>
          <w:rFonts w:ascii="Arial" w:hAnsi="Arial" w:cs="Arial"/>
          <w:sz w:val="24"/>
          <w:szCs w:val="24"/>
        </w:rPr>
        <w:t>n ICB</w:t>
      </w:r>
      <w:r w:rsidRPr="00A64754">
        <w:rPr>
          <w:rFonts w:ascii="Arial" w:hAnsi="Arial" w:cs="Arial"/>
          <w:sz w:val="24"/>
          <w:szCs w:val="24"/>
        </w:rPr>
        <w:t>.</w:t>
      </w:r>
    </w:p>
    <w:p w14:paraId="228926AE" w14:textId="77777777" w:rsidR="00E700ED" w:rsidRDefault="00E700ED" w:rsidP="00E700ED">
      <w:pPr>
        <w:rPr>
          <w:rFonts w:ascii="Arial" w:hAnsi="Arial" w:cs="Arial"/>
          <w:sz w:val="24"/>
          <w:szCs w:val="24"/>
        </w:rPr>
      </w:pPr>
      <w:r w:rsidRPr="00E700ED">
        <w:rPr>
          <w:rFonts w:ascii="Arial" w:hAnsi="Arial" w:cs="Arial"/>
          <w:sz w:val="24"/>
          <w:szCs w:val="24"/>
        </w:rPr>
        <w:t xml:space="preserve">This report fulfils </w:t>
      </w:r>
      <w:r>
        <w:rPr>
          <w:rFonts w:ascii="Arial" w:hAnsi="Arial" w:cs="Arial"/>
          <w:sz w:val="24"/>
          <w:szCs w:val="24"/>
        </w:rPr>
        <w:t>NHS Derby and Derbyshire</w:t>
      </w:r>
      <w:r w:rsidRPr="00E700ED">
        <w:rPr>
          <w:rFonts w:ascii="Arial" w:hAnsi="Arial" w:cs="Arial"/>
          <w:sz w:val="24"/>
          <w:szCs w:val="24"/>
        </w:rPr>
        <w:t xml:space="preserve">’s reporting requirements, analyses the figures in more detail and </w:t>
      </w:r>
      <w:r w:rsidRPr="004C2C95">
        <w:rPr>
          <w:rFonts w:ascii="Arial" w:hAnsi="Arial" w:cs="Arial"/>
          <w:sz w:val="24"/>
          <w:szCs w:val="24"/>
        </w:rPr>
        <w:t>sets out what we are doing to close the gender pay gap in the organisation.</w:t>
      </w:r>
    </w:p>
    <w:p w14:paraId="029DA314" w14:textId="1CA53564" w:rsidR="00E700ED" w:rsidRDefault="00EE4585" w:rsidP="00EE4585">
      <w:pPr>
        <w:rPr>
          <w:rFonts w:ascii="Arial" w:hAnsi="Arial" w:cs="Arial"/>
          <w:sz w:val="24"/>
          <w:szCs w:val="24"/>
        </w:rPr>
      </w:pPr>
      <w:r w:rsidRPr="00EE4585">
        <w:rPr>
          <w:rFonts w:ascii="Arial" w:hAnsi="Arial" w:cs="Arial"/>
          <w:sz w:val="24"/>
          <w:szCs w:val="24"/>
        </w:rPr>
        <w:t xml:space="preserve">Our workforce is predominantly </w:t>
      </w:r>
      <w:proofErr w:type="gramStart"/>
      <w:r w:rsidRPr="00EE4585">
        <w:rPr>
          <w:rFonts w:ascii="Arial" w:hAnsi="Arial" w:cs="Arial"/>
          <w:sz w:val="24"/>
          <w:szCs w:val="24"/>
        </w:rPr>
        <w:t>female</w:t>
      </w:r>
      <w:proofErr w:type="gramEnd"/>
      <w:r w:rsidRPr="00EE4585">
        <w:rPr>
          <w:rFonts w:ascii="Arial" w:hAnsi="Arial" w:cs="Arial"/>
          <w:sz w:val="24"/>
          <w:szCs w:val="24"/>
        </w:rPr>
        <w:t xml:space="preserve"> and </w:t>
      </w:r>
      <w:proofErr w:type="gramStart"/>
      <w:r w:rsidRPr="00EE4585">
        <w:rPr>
          <w:rFonts w:ascii="Arial" w:hAnsi="Arial" w:cs="Arial"/>
          <w:sz w:val="24"/>
          <w:szCs w:val="24"/>
        </w:rPr>
        <w:t>the</w:t>
      </w:r>
      <w:r>
        <w:rPr>
          <w:rFonts w:ascii="Arial" w:hAnsi="Arial" w:cs="Arial"/>
          <w:sz w:val="24"/>
          <w:szCs w:val="24"/>
        </w:rPr>
        <w:t xml:space="preserve"> </w:t>
      </w:r>
      <w:r w:rsidRPr="00EE4585">
        <w:rPr>
          <w:rFonts w:ascii="Arial" w:hAnsi="Arial" w:cs="Arial"/>
          <w:sz w:val="24"/>
          <w:szCs w:val="24"/>
        </w:rPr>
        <w:t>majority of</w:t>
      </w:r>
      <w:proofErr w:type="gramEnd"/>
      <w:r w:rsidRPr="00EE4585">
        <w:rPr>
          <w:rFonts w:ascii="Arial" w:hAnsi="Arial" w:cs="Arial"/>
          <w:sz w:val="24"/>
          <w:szCs w:val="24"/>
        </w:rPr>
        <w:t xml:space="preserve"> part-time positions are occupied by</w:t>
      </w:r>
      <w:r>
        <w:rPr>
          <w:rFonts w:ascii="Arial" w:hAnsi="Arial" w:cs="Arial"/>
          <w:sz w:val="24"/>
          <w:szCs w:val="24"/>
        </w:rPr>
        <w:t xml:space="preserve"> </w:t>
      </w:r>
      <w:r w:rsidRPr="00EE4585">
        <w:rPr>
          <w:rFonts w:ascii="Arial" w:hAnsi="Arial" w:cs="Arial"/>
          <w:sz w:val="24"/>
          <w:szCs w:val="24"/>
        </w:rPr>
        <w:t>female employees. In principle, that is good, as</w:t>
      </w:r>
      <w:r>
        <w:rPr>
          <w:rFonts w:ascii="Arial" w:hAnsi="Arial" w:cs="Arial"/>
          <w:sz w:val="24"/>
          <w:szCs w:val="24"/>
        </w:rPr>
        <w:t xml:space="preserve"> </w:t>
      </w:r>
      <w:r w:rsidRPr="00EE4585">
        <w:rPr>
          <w:rFonts w:ascii="Arial" w:hAnsi="Arial" w:cs="Arial"/>
          <w:sz w:val="24"/>
          <w:szCs w:val="24"/>
        </w:rPr>
        <w:t>women have historically found it difficult to find</w:t>
      </w:r>
      <w:r>
        <w:rPr>
          <w:rFonts w:ascii="Arial" w:hAnsi="Arial" w:cs="Arial"/>
          <w:sz w:val="24"/>
          <w:szCs w:val="24"/>
        </w:rPr>
        <w:t xml:space="preserve"> </w:t>
      </w:r>
      <w:r w:rsidRPr="00EE4585">
        <w:rPr>
          <w:rFonts w:ascii="Arial" w:hAnsi="Arial" w:cs="Arial"/>
          <w:sz w:val="24"/>
          <w:szCs w:val="24"/>
        </w:rPr>
        <w:t>employment in many industries in the UK. As</w:t>
      </w:r>
      <w:r>
        <w:rPr>
          <w:rFonts w:ascii="Arial" w:hAnsi="Arial" w:cs="Arial"/>
          <w:sz w:val="24"/>
          <w:szCs w:val="24"/>
        </w:rPr>
        <w:t xml:space="preserve"> </w:t>
      </w:r>
      <w:r w:rsidRPr="00EE4585">
        <w:rPr>
          <w:rFonts w:ascii="Arial" w:hAnsi="Arial" w:cs="Arial"/>
          <w:sz w:val="24"/>
          <w:szCs w:val="24"/>
        </w:rPr>
        <w:t>part of our commitment to tackle discrimination,</w:t>
      </w:r>
      <w:r>
        <w:rPr>
          <w:rFonts w:ascii="Arial" w:hAnsi="Arial" w:cs="Arial"/>
          <w:sz w:val="24"/>
          <w:szCs w:val="24"/>
        </w:rPr>
        <w:t xml:space="preserve"> </w:t>
      </w:r>
      <w:r w:rsidRPr="00EE4585">
        <w:rPr>
          <w:rFonts w:ascii="Arial" w:hAnsi="Arial" w:cs="Arial"/>
          <w:sz w:val="24"/>
          <w:szCs w:val="24"/>
        </w:rPr>
        <w:t>advance equal opportunities and create an</w:t>
      </w:r>
      <w:r>
        <w:rPr>
          <w:rFonts w:ascii="Arial" w:hAnsi="Arial" w:cs="Arial"/>
          <w:sz w:val="24"/>
          <w:szCs w:val="24"/>
        </w:rPr>
        <w:t xml:space="preserve"> </w:t>
      </w:r>
      <w:r w:rsidRPr="00EE4585">
        <w:rPr>
          <w:rFonts w:ascii="Arial" w:hAnsi="Arial" w:cs="Arial"/>
          <w:sz w:val="24"/>
          <w:szCs w:val="24"/>
        </w:rPr>
        <w:t xml:space="preserve">inclusive workplace for all staff there are </w:t>
      </w:r>
      <w:proofErr w:type="gramStart"/>
      <w:r w:rsidRPr="00EE4585">
        <w:rPr>
          <w:rFonts w:ascii="Arial" w:hAnsi="Arial" w:cs="Arial"/>
          <w:sz w:val="24"/>
          <w:szCs w:val="24"/>
        </w:rPr>
        <w:t>a</w:t>
      </w:r>
      <w:r>
        <w:rPr>
          <w:rFonts w:ascii="Arial" w:hAnsi="Arial" w:cs="Arial"/>
          <w:sz w:val="24"/>
          <w:szCs w:val="24"/>
        </w:rPr>
        <w:t xml:space="preserve"> </w:t>
      </w:r>
      <w:r w:rsidRPr="00EE4585">
        <w:rPr>
          <w:rFonts w:ascii="Arial" w:hAnsi="Arial" w:cs="Arial"/>
          <w:sz w:val="24"/>
          <w:szCs w:val="24"/>
        </w:rPr>
        <w:t>number of</w:t>
      </w:r>
      <w:proofErr w:type="gramEnd"/>
      <w:r w:rsidRPr="00EE4585">
        <w:rPr>
          <w:rFonts w:ascii="Arial" w:hAnsi="Arial" w:cs="Arial"/>
          <w:sz w:val="24"/>
          <w:szCs w:val="24"/>
        </w:rPr>
        <w:t xml:space="preserve"> measures already in place which go</w:t>
      </w:r>
      <w:r>
        <w:rPr>
          <w:rFonts w:ascii="Arial" w:hAnsi="Arial" w:cs="Arial"/>
          <w:sz w:val="24"/>
          <w:szCs w:val="24"/>
        </w:rPr>
        <w:t xml:space="preserve"> </w:t>
      </w:r>
      <w:r w:rsidRPr="00EE4585">
        <w:rPr>
          <w:rFonts w:ascii="Arial" w:hAnsi="Arial" w:cs="Arial"/>
          <w:sz w:val="24"/>
          <w:szCs w:val="24"/>
        </w:rPr>
        <w:t>some way to address our GPG. However, they</w:t>
      </w:r>
      <w:r>
        <w:rPr>
          <w:rFonts w:ascii="Arial" w:hAnsi="Arial" w:cs="Arial"/>
          <w:sz w:val="24"/>
          <w:szCs w:val="24"/>
        </w:rPr>
        <w:t xml:space="preserve"> </w:t>
      </w:r>
      <w:r w:rsidRPr="00EE4585">
        <w:rPr>
          <w:rFonts w:ascii="Arial" w:hAnsi="Arial" w:cs="Arial"/>
          <w:sz w:val="24"/>
          <w:szCs w:val="24"/>
        </w:rPr>
        <w:t>have also attracted female applications in higher</w:t>
      </w:r>
      <w:r w:rsidR="002B56B7">
        <w:rPr>
          <w:rFonts w:ascii="Arial" w:hAnsi="Arial" w:cs="Arial"/>
          <w:sz w:val="24"/>
          <w:szCs w:val="24"/>
        </w:rPr>
        <w:t xml:space="preserve"> </w:t>
      </w:r>
      <w:r w:rsidRPr="00EE4585">
        <w:rPr>
          <w:rFonts w:ascii="Arial" w:hAnsi="Arial" w:cs="Arial"/>
          <w:sz w:val="24"/>
          <w:szCs w:val="24"/>
        </w:rPr>
        <w:t>numbers.</w:t>
      </w:r>
    </w:p>
    <w:p w14:paraId="7485DCC7" w14:textId="77777777" w:rsidR="002B56B7" w:rsidRPr="002B56B7" w:rsidRDefault="002B56B7" w:rsidP="002B56B7">
      <w:pPr>
        <w:rPr>
          <w:rFonts w:ascii="Arial" w:hAnsi="Arial" w:cs="Arial"/>
          <w:sz w:val="24"/>
          <w:szCs w:val="24"/>
        </w:rPr>
      </w:pPr>
      <w:r w:rsidRPr="002B56B7">
        <w:rPr>
          <w:rFonts w:ascii="Arial" w:hAnsi="Arial" w:cs="Arial"/>
          <w:sz w:val="24"/>
          <w:szCs w:val="24"/>
        </w:rPr>
        <w:t>These initiatives include:</w:t>
      </w:r>
    </w:p>
    <w:p w14:paraId="4E73A612" w14:textId="77777777" w:rsidR="002B56B7" w:rsidRPr="002B56B7" w:rsidRDefault="002B56B7" w:rsidP="002B56B7">
      <w:pPr>
        <w:pStyle w:val="ListParagraph"/>
        <w:numPr>
          <w:ilvl w:val="0"/>
          <w:numId w:val="3"/>
        </w:numPr>
        <w:rPr>
          <w:rFonts w:ascii="Arial" w:hAnsi="Arial" w:cs="Arial"/>
          <w:sz w:val="24"/>
          <w:szCs w:val="24"/>
        </w:rPr>
      </w:pPr>
      <w:r w:rsidRPr="002B56B7">
        <w:rPr>
          <w:rFonts w:ascii="Arial" w:hAnsi="Arial" w:cs="Arial"/>
          <w:sz w:val="24"/>
          <w:szCs w:val="24"/>
        </w:rPr>
        <w:t>Offering shared parental leave and flexible working arrangements</w:t>
      </w:r>
    </w:p>
    <w:p w14:paraId="45B6E0F9" w14:textId="77777777" w:rsidR="002B56B7" w:rsidRPr="002B56B7" w:rsidRDefault="002B56B7" w:rsidP="002B56B7">
      <w:pPr>
        <w:pStyle w:val="ListParagraph"/>
        <w:numPr>
          <w:ilvl w:val="0"/>
          <w:numId w:val="3"/>
        </w:numPr>
        <w:rPr>
          <w:rFonts w:ascii="Arial" w:hAnsi="Arial" w:cs="Arial"/>
          <w:sz w:val="24"/>
          <w:szCs w:val="24"/>
        </w:rPr>
      </w:pPr>
      <w:r w:rsidRPr="002B56B7">
        <w:rPr>
          <w:rFonts w:ascii="Arial" w:hAnsi="Arial" w:cs="Arial"/>
          <w:sz w:val="24"/>
          <w:szCs w:val="24"/>
        </w:rPr>
        <w:t>Actively supporting women to return to work following maternity or adoption leave</w:t>
      </w:r>
    </w:p>
    <w:p w14:paraId="13E18188" w14:textId="77777777" w:rsidR="002B56B7" w:rsidRPr="002B56B7" w:rsidRDefault="002B56B7" w:rsidP="002B56B7">
      <w:pPr>
        <w:pStyle w:val="ListParagraph"/>
        <w:numPr>
          <w:ilvl w:val="0"/>
          <w:numId w:val="3"/>
        </w:numPr>
        <w:rPr>
          <w:rFonts w:ascii="Arial" w:hAnsi="Arial" w:cs="Arial"/>
          <w:sz w:val="24"/>
          <w:szCs w:val="24"/>
        </w:rPr>
      </w:pPr>
      <w:r w:rsidRPr="002B56B7">
        <w:rPr>
          <w:rFonts w:ascii="Arial" w:hAnsi="Arial" w:cs="Arial"/>
          <w:sz w:val="24"/>
          <w:szCs w:val="24"/>
        </w:rPr>
        <w:t>Using an anonymised application processes to reduce unconscious bias in recruitment</w:t>
      </w:r>
    </w:p>
    <w:p w14:paraId="4D330669" w14:textId="33C1003C" w:rsidR="002B56B7" w:rsidRPr="002B56B7" w:rsidRDefault="0050748D" w:rsidP="002B56B7">
      <w:pPr>
        <w:pStyle w:val="ListParagraph"/>
        <w:numPr>
          <w:ilvl w:val="0"/>
          <w:numId w:val="3"/>
        </w:numPr>
        <w:rPr>
          <w:rFonts w:ascii="Arial" w:hAnsi="Arial" w:cs="Arial"/>
          <w:sz w:val="24"/>
          <w:szCs w:val="24"/>
        </w:rPr>
      </w:pPr>
      <w:r>
        <w:rPr>
          <w:rFonts w:ascii="Arial" w:hAnsi="Arial" w:cs="Arial"/>
          <w:sz w:val="24"/>
          <w:szCs w:val="24"/>
        </w:rPr>
        <w:t>U</w:t>
      </w:r>
      <w:r w:rsidR="002B56B7" w:rsidRPr="002B56B7">
        <w:rPr>
          <w:rFonts w:ascii="Arial" w:hAnsi="Arial" w:cs="Arial"/>
          <w:sz w:val="24"/>
          <w:szCs w:val="24"/>
        </w:rPr>
        <w:t>nconscious bias</w:t>
      </w:r>
      <w:r>
        <w:rPr>
          <w:rFonts w:ascii="Arial" w:hAnsi="Arial" w:cs="Arial"/>
          <w:sz w:val="24"/>
          <w:szCs w:val="24"/>
        </w:rPr>
        <w:t xml:space="preserve"> training</w:t>
      </w:r>
    </w:p>
    <w:p w14:paraId="3989D957" w14:textId="15F12820" w:rsidR="002B56B7" w:rsidRPr="002B56B7" w:rsidRDefault="002B56B7" w:rsidP="002B56B7">
      <w:pPr>
        <w:pStyle w:val="ListParagraph"/>
        <w:numPr>
          <w:ilvl w:val="0"/>
          <w:numId w:val="3"/>
        </w:numPr>
        <w:rPr>
          <w:rFonts w:ascii="Arial" w:hAnsi="Arial" w:cs="Arial"/>
          <w:sz w:val="24"/>
          <w:szCs w:val="24"/>
        </w:rPr>
      </w:pPr>
      <w:r w:rsidRPr="002B56B7">
        <w:rPr>
          <w:rFonts w:ascii="Arial" w:hAnsi="Arial" w:cs="Arial"/>
          <w:sz w:val="24"/>
          <w:szCs w:val="24"/>
        </w:rPr>
        <w:t xml:space="preserve">Having a range of </w:t>
      </w:r>
      <w:r w:rsidR="00BF09DD" w:rsidRPr="002B56B7">
        <w:rPr>
          <w:rFonts w:ascii="Arial" w:hAnsi="Arial" w:cs="Arial"/>
          <w:sz w:val="24"/>
          <w:szCs w:val="24"/>
        </w:rPr>
        <w:t>up-to-date</w:t>
      </w:r>
      <w:r w:rsidRPr="002B56B7">
        <w:rPr>
          <w:rFonts w:ascii="Arial" w:hAnsi="Arial" w:cs="Arial"/>
          <w:sz w:val="24"/>
          <w:szCs w:val="24"/>
        </w:rPr>
        <w:t xml:space="preserve"> workforce policies which are regularly reviewed.</w:t>
      </w:r>
    </w:p>
    <w:p w14:paraId="7863A75C" w14:textId="77777777" w:rsidR="002B56B7" w:rsidRDefault="002B56B7" w:rsidP="002B56B7">
      <w:pPr>
        <w:pStyle w:val="ListParagraph"/>
        <w:numPr>
          <w:ilvl w:val="0"/>
          <w:numId w:val="3"/>
        </w:numPr>
        <w:rPr>
          <w:rFonts w:ascii="Arial" w:hAnsi="Arial" w:cs="Arial"/>
          <w:sz w:val="24"/>
          <w:szCs w:val="24"/>
        </w:rPr>
      </w:pPr>
      <w:r w:rsidRPr="002B56B7">
        <w:rPr>
          <w:rFonts w:ascii="Arial" w:hAnsi="Arial" w:cs="Arial"/>
          <w:sz w:val="24"/>
          <w:szCs w:val="24"/>
        </w:rPr>
        <w:t xml:space="preserve">A Diversity and Inclusion </w:t>
      </w:r>
      <w:r>
        <w:rPr>
          <w:rFonts w:ascii="Arial" w:hAnsi="Arial" w:cs="Arial"/>
          <w:sz w:val="24"/>
          <w:szCs w:val="24"/>
        </w:rPr>
        <w:t>Network (run for staff by staff)</w:t>
      </w:r>
    </w:p>
    <w:p w14:paraId="22185C93" w14:textId="639186D3" w:rsidR="002B56B7" w:rsidRPr="002B56B7" w:rsidRDefault="00FA6DBD" w:rsidP="002B56B7">
      <w:pPr>
        <w:pStyle w:val="ListParagraph"/>
        <w:numPr>
          <w:ilvl w:val="0"/>
          <w:numId w:val="3"/>
        </w:numPr>
        <w:rPr>
          <w:rFonts w:ascii="Arial" w:hAnsi="Arial" w:cs="Arial"/>
          <w:sz w:val="24"/>
          <w:szCs w:val="24"/>
        </w:rPr>
      </w:pPr>
      <w:r>
        <w:rPr>
          <w:rFonts w:ascii="Arial" w:hAnsi="Arial" w:cs="Arial"/>
          <w:sz w:val="24"/>
          <w:szCs w:val="24"/>
        </w:rPr>
        <w:t>On OD plan</w:t>
      </w:r>
      <w:r w:rsidR="002B56B7" w:rsidRPr="002B56B7">
        <w:rPr>
          <w:rFonts w:ascii="Arial" w:hAnsi="Arial" w:cs="Arial"/>
          <w:sz w:val="24"/>
          <w:szCs w:val="24"/>
        </w:rPr>
        <w:t xml:space="preserve"> </w:t>
      </w:r>
      <w:r w:rsidR="00BF09DD">
        <w:rPr>
          <w:rFonts w:ascii="Arial" w:hAnsi="Arial" w:cs="Arial"/>
          <w:sz w:val="24"/>
          <w:szCs w:val="24"/>
        </w:rPr>
        <w:t xml:space="preserve">informed by the Staff Survey, Workplace Race Equality Standard (WRES), Workplace Disability Equality Standard (WDES), Gender Pay Gap information and one </w:t>
      </w:r>
      <w:r w:rsidR="002B56B7" w:rsidRPr="002B56B7">
        <w:rPr>
          <w:rFonts w:ascii="Arial" w:hAnsi="Arial" w:cs="Arial"/>
          <w:sz w:val="24"/>
          <w:szCs w:val="24"/>
        </w:rPr>
        <w:t>that focuses on diversity and inclusion.</w:t>
      </w:r>
    </w:p>
    <w:p w14:paraId="1BA43976" w14:textId="77777777" w:rsidR="002B56B7" w:rsidRPr="002B56B7" w:rsidRDefault="002B56B7" w:rsidP="002B56B7">
      <w:pPr>
        <w:rPr>
          <w:rFonts w:ascii="Arial" w:hAnsi="Arial" w:cs="Arial"/>
          <w:sz w:val="24"/>
          <w:szCs w:val="24"/>
        </w:rPr>
      </w:pPr>
    </w:p>
    <w:p w14:paraId="063D3757" w14:textId="77777777" w:rsidR="003C43AC" w:rsidRPr="003C43AC" w:rsidRDefault="00EE4585" w:rsidP="003C43AC">
      <w:pPr>
        <w:pStyle w:val="Heading1"/>
        <w:spacing w:before="120" w:after="120"/>
        <w:rPr>
          <w:rFonts w:ascii="Arial" w:hAnsi="Arial" w:cs="Arial"/>
          <w:color w:val="auto"/>
          <w:sz w:val="24"/>
          <w:szCs w:val="24"/>
        </w:rPr>
      </w:pPr>
      <w:bookmarkStart w:id="2" w:name="_Toc68001644"/>
      <w:r>
        <w:rPr>
          <w:rFonts w:ascii="Arial" w:hAnsi="Arial" w:cs="Arial"/>
          <w:color w:val="auto"/>
          <w:sz w:val="24"/>
          <w:szCs w:val="24"/>
        </w:rPr>
        <w:t>3</w:t>
      </w:r>
      <w:r w:rsidR="003C43AC" w:rsidRPr="003C43AC">
        <w:rPr>
          <w:rFonts w:ascii="Arial" w:hAnsi="Arial" w:cs="Arial"/>
          <w:color w:val="auto"/>
          <w:sz w:val="24"/>
          <w:szCs w:val="24"/>
        </w:rPr>
        <w:t>.0</w:t>
      </w:r>
      <w:r w:rsidR="003C43AC" w:rsidRPr="003C43AC">
        <w:rPr>
          <w:rFonts w:ascii="Arial" w:hAnsi="Arial" w:cs="Arial"/>
          <w:color w:val="auto"/>
          <w:sz w:val="24"/>
          <w:szCs w:val="24"/>
        </w:rPr>
        <w:tab/>
      </w:r>
      <w:r w:rsidR="003C43AC">
        <w:rPr>
          <w:rFonts w:ascii="Arial" w:hAnsi="Arial" w:cs="Arial"/>
          <w:color w:val="auto"/>
          <w:sz w:val="24"/>
          <w:szCs w:val="24"/>
        </w:rPr>
        <w:t>WORKERS IN SCOPE</w:t>
      </w:r>
      <w:bookmarkEnd w:id="2"/>
    </w:p>
    <w:p w14:paraId="7580C56A" w14:textId="584A11F7" w:rsidR="004C2C95" w:rsidRPr="00BF7D37" w:rsidRDefault="000B3A91" w:rsidP="001E58E4">
      <w:pPr>
        <w:rPr>
          <w:rFonts w:ascii="Arial" w:hAnsi="Arial" w:cs="Arial"/>
          <w:sz w:val="24"/>
          <w:szCs w:val="24"/>
        </w:rPr>
      </w:pPr>
      <w:r>
        <w:rPr>
          <w:rFonts w:ascii="Arial" w:hAnsi="Arial" w:cs="Arial"/>
          <w:sz w:val="24"/>
          <w:szCs w:val="24"/>
        </w:rPr>
        <w:t>5</w:t>
      </w:r>
      <w:r w:rsidR="002410A2">
        <w:rPr>
          <w:rFonts w:ascii="Arial" w:hAnsi="Arial" w:cs="Arial"/>
          <w:sz w:val="24"/>
          <w:szCs w:val="24"/>
        </w:rPr>
        <w:t>54</w:t>
      </w:r>
      <w:r w:rsidR="004C2C95" w:rsidRPr="00BF7D37">
        <w:rPr>
          <w:rFonts w:ascii="Arial" w:hAnsi="Arial" w:cs="Arial"/>
          <w:sz w:val="24"/>
          <w:szCs w:val="24"/>
        </w:rPr>
        <w:t xml:space="preserve"> </w:t>
      </w:r>
      <w:r>
        <w:rPr>
          <w:rFonts w:ascii="Arial" w:hAnsi="Arial" w:cs="Arial"/>
          <w:sz w:val="24"/>
          <w:szCs w:val="24"/>
        </w:rPr>
        <w:t>workers</w:t>
      </w:r>
      <w:r w:rsidR="004C2C95" w:rsidRPr="00BF7D37">
        <w:rPr>
          <w:rFonts w:ascii="Arial" w:hAnsi="Arial" w:cs="Arial"/>
          <w:sz w:val="24"/>
          <w:szCs w:val="24"/>
        </w:rPr>
        <w:t xml:space="preserve">, </w:t>
      </w:r>
      <w:r w:rsidR="00664C11" w:rsidRPr="00BF7D37">
        <w:rPr>
          <w:rFonts w:ascii="Arial" w:hAnsi="Arial" w:cs="Arial"/>
          <w:sz w:val="24"/>
          <w:szCs w:val="24"/>
        </w:rPr>
        <w:t>9</w:t>
      </w:r>
      <w:r w:rsidR="00BF7D37" w:rsidRPr="00BF7D37">
        <w:rPr>
          <w:rFonts w:ascii="Arial" w:hAnsi="Arial" w:cs="Arial"/>
          <w:sz w:val="24"/>
          <w:szCs w:val="24"/>
        </w:rPr>
        <w:t>6</w:t>
      </w:r>
      <w:r w:rsidR="00664C11" w:rsidRPr="00BF7D37">
        <w:rPr>
          <w:rFonts w:ascii="Arial" w:hAnsi="Arial" w:cs="Arial"/>
          <w:sz w:val="24"/>
          <w:szCs w:val="24"/>
        </w:rPr>
        <w:t>%</w:t>
      </w:r>
      <w:r w:rsidR="004C2C95" w:rsidRPr="00BF7D37">
        <w:rPr>
          <w:rFonts w:ascii="Arial" w:hAnsi="Arial" w:cs="Arial"/>
          <w:sz w:val="24"/>
          <w:szCs w:val="24"/>
        </w:rPr>
        <w:t xml:space="preserve"> of </w:t>
      </w:r>
      <w:r w:rsidR="002410A2">
        <w:rPr>
          <w:rFonts w:ascii="Arial" w:hAnsi="Arial" w:cs="Arial"/>
          <w:sz w:val="24"/>
          <w:szCs w:val="24"/>
        </w:rPr>
        <w:t>510</w:t>
      </w:r>
      <w:r w:rsidR="004C2C95" w:rsidRPr="00BF7D37">
        <w:rPr>
          <w:rFonts w:ascii="Arial" w:hAnsi="Arial" w:cs="Arial"/>
          <w:sz w:val="24"/>
          <w:szCs w:val="24"/>
        </w:rPr>
        <w:t xml:space="preserve"> employees are on NHS Agenda for Change (</w:t>
      </w:r>
      <w:proofErr w:type="spellStart"/>
      <w:r w:rsidR="004C2C95" w:rsidRPr="00BF7D37">
        <w:rPr>
          <w:rFonts w:ascii="Arial" w:hAnsi="Arial" w:cs="Arial"/>
          <w:sz w:val="24"/>
          <w:szCs w:val="24"/>
        </w:rPr>
        <w:t>AfC</w:t>
      </w:r>
      <w:proofErr w:type="spellEnd"/>
      <w:r w:rsidR="004C2C95" w:rsidRPr="00BF7D37">
        <w:rPr>
          <w:rFonts w:ascii="Arial" w:hAnsi="Arial" w:cs="Arial"/>
          <w:sz w:val="24"/>
          <w:szCs w:val="24"/>
        </w:rPr>
        <w:t>) pay grades</w:t>
      </w:r>
      <w:r w:rsidR="001E58E4" w:rsidRPr="00BF7D37">
        <w:rPr>
          <w:rFonts w:ascii="Arial" w:hAnsi="Arial" w:cs="Arial"/>
          <w:sz w:val="24"/>
          <w:szCs w:val="24"/>
        </w:rPr>
        <w:t xml:space="preserve"> </w:t>
      </w:r>
      <w:r w:rsidR="004C2C95" w:rsidRPr="00BF7D37">
        <w:rPr>
          <w:rFonts w:ascii="Arial" w:hAnsi="Arial" w:cs="Arial"/>
          <w:sz w:val="24"/>
          <w:szCs w:val="24"/>
        </w:rPr>
        <w:t xml:space="preserve">ranging from Band </w:t>
      </w:r>
      <w:r w:rsidR="00146456">
        <w:rPr>
          <w:rFonts w:ascii="Arial" w:hAnsi="Arial" w:cs="Arial"/>
          <w:sz w:val="24"/>
          <w:szCs w:val="24"/>
        </w:rPr>
        <w:t>3</w:t>
      </w:r>
      <w:r w:rsidR="004C2C95" w:rsidRPr="00BF7D37">
        <w:rPr>
          <w:rFonts w:ascii="Arial" w:hAnsi="Arial" w:cs="Arial"/>
          <w:sz w:val="24"/>
          <w:szCs w:val="24"/>
        </w:rPr>
        <w:t xml:space="preserve"> to Band </w:t>
      </w:r>
      <w:r w:rsidR="001E58E4" w:rsidRPr="00BF7D37">
        <w:rPr>
          <w:rFonts w:ascii="Arial" w:hAnsi="Arial" w:cs="Arial"/>
          <w:sz w:val="24"/>
          <w:szCs w:val="24"/>
        </w:rPr>
        <w:t>8d</w:t>
      </w:r>
      <w:r w:rsidR="004C2C95" w:rsidRPr="00BF7D37">
        <w:rPr>
          <w:rFonts w:ascii="Arial" w:hAnsi="Arial" w:cs="Arial"/>
          <w:sz w:val="24"/>
          <w:szCs w:val="24"/>
        </w:rPr>
        <w:t xml:space="preserve">. The </w:t>
      </w:r>
      <w:proofErr w:type="spellStart"/>
      <w:r w:rsidR="004C2C95" w:rsidRPr="00BF7D37">
        <w:rPr>
          <w:rFonts w:ascii="Arial" w:hAnsi="Arial" w:cs="Arial"/>
          <w:sz w:val="24"/>
          <w:szCs w:val="24"/>
        </w:rPr>
        <w:t>AfC</w:t>
      </w:r>
      <w:proofErr w:type="spellEnd"/>
      <w:r w:rsidR="004C2C95" w:rsidRPr="00BF7D37">
        <w:rPr>
          <w:rFonts w:ascii="Arial" w:hAnsi="Arial" w:cs="Arial"/>
          <w:sz w:val="24"/>
          <w:szCs w:val="24"/>
        </w:rPr>
        <w:t xml:space="preserve"> job evaluation system allocates posts, in</w:t>
      </w:r>
      <w:r w:rsidR="001E58E4" w:rsidRPr="00BF7D37">
        <w:rPr>
          <w:rFonts w:ascii="Arial" w:hAnsi="Arial" w:cs="Arial"/>
          <w:sz w:val="24"/>
          <w:szCs w:val="24"/>
        </w:rPr>
        <w:t xml:space="preserve"> </w:t>
      </w:r>
      <w:r w:rsidR="004C2C95" w:rsidRPr="00BF7D37">
        <w:rPr>
          <w:rFonts w:ascii="Arial" w:hAnsi="Arial" w:cs="Arial"/>
          <w:sz w:val="24"/>
          <w:szCs w:val="24"/>
        </w:rPr>
        <w:t xml:space="preserve">accordance with responsibility to set pay bands. </w:t>
      </w:r>
    </w:p>
    <w:p w14:paraId="68227847" w14:textId="13358500" w:rsidR="00B9580F" w:rsidRPr="00BF7D37" w:rsidRDefault="004C2C95" w:rsidP="00B9580F">
      <w:pPr>
        <w:rPr>
          <w:rFonts w:ascii="Arial" w:hAnsi="Arial" w:cs="Arial"/>
          <w:sz w:val="24"/>
          <w:szCs w:val="24"/>
        </w:rPr>
      </w:pPr>
      <w:r w:rsidRPr="00BF7D37">
        <w:rPr>
          <w:rFonts w:ascii="Arial" w:hAnsi="Arial" w:cs="Arial"/>
          <w:sz w:val="24"/>
          <w:szCs w:val="24"/>
        </w:rPr>
        <w:t>The framework for the remuneration of very senior managers and directors is set by the</w:t>
      </w:r>
      <w:r w:rsidR="001E58E4" w:rsidRPr="00BF7D37">
        <w:rPr>
          <w:rFonts w:ascii="Arial" w:hAnsi="Arial" w:cs="Arial"/>
          <w:sz w:val="24"/>
          <w:szCs w:val="24"/>
        </w:rPr>
        <w:t xml:space="preserve"> </w:t>
      </w:r>
      <w:r w:rsidRPr="00BF7D37">
        <w:rPr>
          <w:rFonts w:ascii="Arial" w:hAnsi="Arial" w:cs="Arial"/>
          <w:sz w:val="24"/>
          <w:szCs w:val="24"/>
        </w:rPr>
        <w:t xml:space="preserve">Department of Health through the Very Senior Managers (VSM) pay framework. </w:t>
      </w:r>
      <w:r w:rsidR="002410A2">
        <w:rPr>
          <w:rFonts w:ascii="Arial" w:hAnsi="Arial" w:cs="Arial"/>
          <w:sz w:val="24"/>
          <w:szCs w:val="24"/>
        </w:rPr>
        <w:t>20</w:t>
      </w:r>
      <w:r w:rsidR="001E58E4" w:rsidRPr="00BF7D37">
        <w:rPr>
          <w:rFonts w:ascii="Arial" w:hAnsi="Arial" w:cs="Arial"/>
          <w:sz w:val="24"/>
          <w:szCs w:val="24"/>
        </w:rPr>
        <w:t xml:space="preserve"> </w:t>
      </w:r>
      <w:r w:rsidRPr="00BF7D37">
        <w:rPr>
          <w:rFonts w:ascii="Arial" w:hAnsi="Arial" w:cs="Arial"/>
          <w:sz w:val="24"/>
          <w:szCs w:val="24"/>
        </w:rPr>
        <w:t xml:space="preserve">employees, </w:t>
      </w:r>
      <w:r w:rsidR="00BF7D37">
        <w:rPr>
          <w:rFonts w:ascii="Arial" w:hAnsi="Arial" w:cs="Arial"/>
          <w:sz w:val="24"/>
          <w:szCs w:val="24"/>
        </w:rPr>
        <w:t>3</w:t>
      </w:r>
      <w:r w:rsidR="00664C11" w:rsidRPr="00BF7D37">
        <w:rPr>
          <w:rFonts w:ascii="Arial" w:hAnsi="Arial" w:cs="Arial"/>
          <w:sz w:val="24"/>
          <w:szCs w:val="24"/>
        </w:rPr>
        <w:t>.</w:t>
      </w:r>
      <w:r w:rsidR="002410A2">
        <w:rPr>
          <w:rFonts w:ascii="Arial" w:hAnsi="Arial" w:cs="Arial"/>
          <w:sz w:val="24"/>
          <w:szCs w:val="24"/>
        </w:rPr>
        <w:t>9</w:t>
      </w:r>
      <w:r w:rsidRPr="00BF7D37">
        <w:rPr>
          <w:rFonts w:ascii="Arial" w:hAnsi="Arial" w:cs="Arial"/>
          <w:sz w:val="24"/>
          <w:szCs w:val="24"/>
        </w:rPr>
        <w:t xml:space="preserve">% of </w:t>
      </w:r>
      <w:r w:rsidR="002410A2">
        <w:rPr>
          <w:rFonts w:ascii="Arial" w:hAnsi="Arial" w:cs="Arial"/>
          <w:sz w:val="24"/>
          <w:szCs w:val="24"/>
        </w:rPr>
        <w:t>510</w:t>
      </w:r>
      <w:r w:rsidRPr="00BF7D37">
        <w:rPr>
          <w:rFonts w:ascii="Arial" w:hAnsi="Arial" w:cs="Arial"/>
          <w:sz w:val="24"/>
          <w:szCs w:val="24"/>
        </w:rPr>
        <w:t xml:space="preserve"> employees are engaged as VSM’s. </w:t>
      </w:r>
    </w:p>
    <w:p w14:paraId="0D6D36E7" w14:textId="0DDC96CA" w:rsidR="00B9580F" w:rsidRDefault="00685EEA" w:rsidP="00B9580F">
      <w:pPr>
        <w:rPr>
          <w:rFonts w:ascii="Arial" w:hAnsi="Arial" w:cs="Arial"/>
          <w:sz w:val="24"/>
          <w:szCs w:val="24"/>
        </w:rPr>
      </w:pPr>
      <w:r w:rsidRPr="00BF7D37">
        <w:rPr>
          <w:rFonts w:ascii="Arial" w:hAnsi="Arial" w:cs="Arial"/>
          <w:sz w:val="24"/>
          <w:szCs w:val="24"/>
        </w:rPr>
        <w:lastRenderedPageBreak/>
        <w:t>Other workers</w:t>
      </w:r>
      <w:r w:rsidR="00B9580F" w:rsidRPr="00BF7D37">
        <w:rPr>
          <w:rFonts w:ascii="Arial" w:hAnsi="Arial" w:cs="Arial"/>
          <w:sz w:val="24"/>
          <w:szCs w:val="24"/>
        </w:rPr>
        <w:t xml:space="preserve"> who are obliged to perform work under a contract personally (i.e. they cannot send a substitute to carry out the work) are in scope of the report. This includes </w:t>
      </w:r>
      <w:r w:rsidR="004E683D">
        <w:rPr>
          <w:rFonts w:ascii="Arial" w:hAnsi="Arial" w:cs="Arial"/>
          <w:sz w:val="24"/>
          <w:szCs w:val="24"/>
        </w:rPr>
        <w:t>Non-Executive Directors</w:t>
      </w:r>
      <w:r w:rsidR="00B9580F" w:rsidRPr="00BF7D37">
        <w:rPr>
          <w:rFonts w:ascii="Arial" w:hAnsi="Arial" w:cs="Arial"/>
          <w:sz w:val="24"/>
          <w:szCs w:val="24"/>
        </w:rPr>
        <w:t xml:space="preserve"> as well as contractors, for example </w:t>
      </w:r>
      <w:r w:rsidR="004E683D">
        <w:rPr>
          <w:rFonts w:ascii="Arial" w:hAnsi="Arial" w:cs="Arial"/>
          <w:sz w:val="24"/>
          <w:szCs w:val="24"/>
        </w:rPr>
        <w:t xml:space="preserve">ICB Partner members, </w:t>
      </w:r>
      <w:r w:rsidR="00B9580F" w:rsidRPr="00BF7D37">
        <w:rPr>
          <w:rFonts w:ascii="Arial" w:hAnsi="Arial" w:cs="Arial"/>
          <w:sz w:val="24"/>
          <w:szCs w:val="24"/>
        </w:rPr>
        <w:t xml:space="preserve">GP Clinical Leads and GP Place Leads. </w:t>
      </w:r>
    </w:p>
    <w:p w14:paraId="31E0001B" w14:textId="77777777" w:rsidR="001E58E4" w:rsidRDefault="001E58E4" w:rsidP="004C2C95">
      <w:pPr>
        <w:rPr>
          <w:rFonts w:ascii="Arial" w:hAnsi="Arial" w:cs="Arial"/>
          <w:sz w:val="24"/>
          <w:szCs w:val="24"/>
        </w:rPr>
      </w:pPr>
    </w:p>
    <w:p w14:paraId="7970CA85" w14:textId="77777777" w:rsidR="003C43AC" w:rsidRPr="0080619C" w:rsidRDefault="001E58E4" w:rsidP="003C43AC">
      <w:pPr>
        <w:pStyle w:val="Heading1"/>
        <w:spacing w:before="120" w:after="120"/>
        <w:rPr>
          <w:rFonts w:ascii="Arial" w:hAnsi="Arial" w:cs="Arial"/>
          <w:color w:val="auto"/>
          <w:sz w:val="24"/>
          <w:szCs w:val="24"/>
        </w:rPr>
      </w:pPr>
      <w:bookmarkStart w:id="3" w:name="_Toc68001645"/>
      <w:r w:rsidRPr="0080619C">
        <w:rPr>
          <w:rFonts w:ascii="Arial" w:hAnsi="Arial" w:cs="Arial"/>
          <w:color w:val="auto"/>
          <w:sz w:val="24"/>
          <w:szCs w:val="24"/>
        </w:rPr>
        <w:t>4</w:t>
      </w:r>
      <w:r w:rsidR="003C43AC" w:rsidRPr="0080619C">
        <w:rPr>
          <w:rFonts w:ascii="Arial" w:hAnsi="Arial" w:cs="Arial"/>
          <w:color w:val="auto"/>
          <w:sz w:val="24"/>
          <w:szCs w:val="24"/>
        </w:rPr>
        <w:t>.0</w:t>
      </w:r>
      <w:r w:rsidR="003C43AC" w:rsidRPr="0080619C">
        <w:rPr>
          <w:rFonts w:ascii="Arial" w:hAnsi="Arial" w:cs="Arial"/>
          <w:color w:val="auto"/>
          <w:sz w:val="24"/>
          <w:szCs w:val="24"/>
        </w:rPr>
        <w:tab/>
        <w:t>GENDER PROFILE</w:t>
      </w:r>
      <w:bookmarkEnd w:id="3"/>
    </w:p>
    <w:p w14:paraId="771651CA" w14:textId="39705989" w:rsidR="007B73BA" w:rsidRPr="0080619C" w:rsidRDefault="007B73BA" w:rsidP="00E700ED">
      <w:pPr>
        <w:rPr>
          <w:rFonts w:ascii="Arial" w:hAnsi="Arial" w:cs="Arial"/>
          <w:sz w:val="24"/>
          <w:szCs w:val="24"/>
        </w:rPr>
      </w:pPr>
      <w:r w:rsidRPr="0080619C">
        <w:rPr>
          <w:rFonts w:ascii="Arial" w:hAnsi="Arial" w:cs="Arial"/>
          <w:sz w:val="24"/>
          <w:szCs w:val="24"/>
        </w:rPr>
        <w:t xml:space="preserve">The combined gender profile for NHS Derby &amp; Derbyshire </w:t>
      </w:r>
      <w:r w:rsidR="004E683D">
        <w:rPr>
          <w:rFonts w:ascii="Arial" w:hAnsi="Arial" w:cs="Arial"/>
          <w:sz w:val="24"/>
          <w:szCs w:val="24"/>
        </w:rPr>
        <w:t>ICB</w:t>
      </w:r>
      <w:r w:rsidRPr="0080619C">
        <w:rPr>
          <w:rFonts w:ascii="Arial" w:hAnsi="Arial" w:cs="Arial"/>
          <w:sz w:val="24"/>
          <w:szCs w:val="24"/>
        </w:rPr>
        <w:t>, including employees, office holder</w:t>
      </w:r>
      <w:r w:rsidR="00530D02" w:rsidRPr="0080619C">
        <w:rPr>
          <w:rFonts w:ascii="Arial" w:hAnsi="Arial" w:cs="Arial"/>
          <w:sz w:val="24"/>
          <w:szCs w:val="24"/>
        </w:rPr>
        <w:t>s</w:t>
      </w:r>
      <w:r w:rsidRPr="0080619C">
        <w:rPr>
          <w:rFonts w:ascii="Arial" w:hAnsi="Arial" w:cs="Arial"/>
          <w:sz w:val="24"/>
          <w:szCs w:val="24"/>
        </w:rPr>
        <w:t xml:space="preserve"> and those engaged on contract for services is as below:</w:t>
      </w:r>
    </w:p>
    <w:p w14:paraId="2E4CADCB" w14:textId="32607FD2" w:rsidR="007B73BA" w:rsidRPr="0080619C" w:rsidRDefault="004211C6" w:rsidP="00E700ED">
      <w:pPr>
        <w:rPr>
          <w:rFonts w:ascii="Arial" w:hAnsi="Arial" w:cs="Arial"/>
          <w:sz w:val="24"/>
          <w:szCs w:val="24"/>
        </w:rPr>
      </w:pPr>
      <w:r>
        <w:rPr>
          <w:noProof/>
        </w:rPr>
        <w:drawing>
          <wp:inline distT="0" distB="0" distL="0" distR="0" wp14:anchorId="3B146060" wp14:editId="3D3694CE">
            <wp:extent cx="4572000" cy="2743200"/>
            <wp:effectExtent l="0" t="0" r="0" b="0"/>
            <wp:docPr id="1" name="Chart 1">
              <a:extLst xmlns:a="http://schemas.openxmlformats.org/drawingml/2006/main">
                <a:ext uri="{FF2B5EF4-FFF2-40B4-BE49-F238E27FC236}">
                  <a16:creationId xmlns:a16="http://schemas.microsoft.com/office/drawing/2014/main" id="{AAEAEF0B-6AAA-4FED-B97F-B16099A2FC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B3FE84" w14:textId="77777777" w:rsidR="00A057E4" w:rsidRPr="0080619C" w:rsidRDefault="00A057E4" w:rsidP="00E700ED">
      <w:pPr>
        <w:rPr>
          <w:rFonts w:ascii="Arial" w:hAnsi="Arial" w:cs="Arial"/>
          <w:sz w:val="24"/>
          <w:szCs w:val="24"/>
        </w:rPr>
      </w:pPr>
    </w:p>
    <w:p w14:paraId="6A37E983" w14:textId="77777777" w:rsidR="003C43AC" w:rsidRPr="0080619C" w:rsidRDefault="00A057E4" w:rsidP="00E700ED">
      <w:pPr>
        <w:rPr>
          <w:rFonts w:ascii="Arial" w:hAnsi="Arial" w:cs="Arial"/>
          <w:sz w:val="24"/>
          <w:szCs w:val="24"/>
        </w:rPr>
      </w:pPr>
      <w:r w:rsidRPr="0080619C">
        <w:rPr>
          <w:rFonts w:ascii="Arial" w:hAnsi="Arial" w:cs="Arial"/>
          <w:sz w:val="24"/>
          <w:szCs w:val="24"/>
        </w:rPr>
        <w:t>The gender profile for each group of workers is shown in the table below:</w:t>
      </w:r>
    </w:p>
    <w:tbl>
      <w:tblPr>
        <w:tblStyle w:val="TableGrid"/>
        <w:tblW w:w="9464" w:type="dxa"/>
        <w:tblLook w:val="04A0" w:firstRow="1" w:lastRow="0" w:firstColumn="1" w:lastColumn="0" w:noHBand="0" w:noVBand="1"/>
      </w:tblPr>
      <w:tblGrid>
        <w:gridCol w:w="3154"/>
        <w:gridCol w:w="3155"/>
        <w:gridCol w:w="3155"/>
      </w:tblGrid>
      <w:tr w:rsidR="00E402AC" w:rsidRPr="0080619C" w14:paraId="558E91EA" w14:textId="77777777" w:rsidTr="00E402AC">
        <w:tc>
          <w:tcPr>
            <w:tcW w:w="3154" w:type="dxa"/>
            <w:shd w:val="clear" w:color="auto" w:fill="B8CCE4" w:themeFill="accent1" w:themeFillTint="66"/>
          </w:tcPr>
          <w:p w14:paraId="7E064571" w14:textId="77777777" w:rsidR="00E402AC" w:rsidRPr="0080619C" w:rsidRDefault="00E402AC" w:rsidP="007105E0">
            <w:pPr>
              <w:spacing w:before="120" w:after="120"/>
              <w:rPr>
                <w:rFonts w:ascii="Arial" w:hAnsi="Arial" w:cs="Arial"/>
                <w:bCs/>
                <w:sz w:val="24"/>
                <w:szCs w:val="24"/>
              </w:rPr>
            </w:pPr>
          </w:p>
        </w:tc>
        <w:tc>
          <w:tcPr>
            <w:tcW w:w="3155" w:type="dxa"/>
          </w:tcPr>
          <w:p w14:paraId="51A2EDBF" w14:textId="77777777" w:rsidR="00E402AC" w:rsidRPr="0080619C" w:rsidRDefault="00E402AC" w:rsidP="004A52B6">
            <w:pPr>
              <w:spacing w:before="120" w:after="120"/>
              <w:jc w:val="center"/>
              <w:rPr>
                <w:rFonts w:ascii="Arial" w:hAnsi="Arial" w:cs="Arial"/>
                <w:b/>
                <w:bCs/>
                <w:sz w:val="24"/>
                <w:szCs w:val="24"/>
              </w:rPr>
            </w:pPr>
            <w:r w:rsidRPr="0080619C">
              <w:rPr>
                <w:rFonts w:ascii="Arial" w:hAnsi="Arial" w:cs="Arial"/>
                <w:b/>
                <w:bCs/>
                <w:sz w:val="24"/>
                <w:szCs w:val="24"/>
              </w:rPr>
              <w:t>Female</w:t>
            </w:r>
          </w:p>
        </w:tc>
        <w:tc>
          <w:tcPr>
            <w:tcW w:w="3155" w:type="dxa"/>
          </w:tcPr>
          <w:p w14:paraId="72878F3A" w14:textId="77777777" w:rsidR="00E402AC" w:rsidRPr="0080619C" w:rsidRDefault="00E402AC" w:rsidP="004A0896">
            <w:pPr>
              <w:spacing w:before="120" w:after="120"/>
              <w:jc w:val="center"/>
              <w:rPr>
                <w:rFonts w:ascii="Arial" w:hAnsi="Arial" w:cs="Arial"/>
                <w:b/>
                <w:bCs/>
                <w:sz w:val="24"/>
                <w:szCs w:val="24"/>
              </w:rPr>
            </w:pPr>
            <w:r w:rsidRPr="0080619C">
              <w:rPr>
                <w:rFonts w:ascii="Arial" w:hAnsi="Arial" w:cs="Arial"/>
                <w:b/>
                <w:bCs/>
                <w:sz w:val="24"/>
                <w:szCs w:val="24"/>
              </w:rPr>
              <w:t>Male</w:t>
            </w:r>
          </w:p>
        </w:tc>
      </w:tr>
      <w:tr w:rsidR="00E402AC" w:rsidRPr="0080619C" w14:paraId="484B18D9" w14:textId="77777777" w:rsidTr="00E402AC">
        <w:tc>
          <w:tcPr>
            <w:tcW w:w="3154" w:type="dxa"/>
            <w:shd w:val="clear" w:color="auto" w:fill="B8CCE4" w:themeFill="accent1" w:themeFillTint="66"/>
          </w:tcPr>
          <w:p w14:paraId="5980A2EF" w14:textId="77777777" w:rsidR="00E402AC" w:rsidRPr="0080619C" w:rsidRDefault="00E402AC" w:rsidP="007105E0">
            <w:pPr>
              <w:spacing w:before="120" w:after="120"/>
              <w:rPr>
                <w:rFonts w:ascii="Arial" w:hAnsi="Arial" w:cs="Arial"/>
                <w:bCs/>
                <w:sz w:val="24"/>
                <w:szCs w:val="24"/>
              </w:rPr>
            </w:pPr>
            <w:r w:rsidRPr="0080619C">
              <w:rPr>
                <w:rFonts w:ascii="Arial" w:hAnsi="Arial" w:cs="Arial"/>
                <w:bCs/>
                <w:sz w:val="24"/>
                <w:szCs w:val="24"/>
              </w:rPr>
              <w:t>Employees</w:t>
            </w:r>
          </w:p>
        </w:tc>
        <w:tc>
          <w:tcPr>
            <w:tcW w:w="3155" w:type="dxa"/>
          </w:tcPr>
          <w:p w14:paraId="36F79E5D" w14:textId="559A1F40" w:rsidR="00E402AC" w:rsidRPr="0080619C" w:rsidRDefault="00E402AC" w:rsidP="004A52B6">
            <w:pPr>
              <w:spacing w:before="120" w:after="120"/>
              <w:jc w:val="center"/>
              <w:rPr>
                <w:rFonts w:ascii="Arial" w:hAnsi="Arial" w:cs="Arial"/>
                <w:b/>
                <w:bCs/>
                <w:sz w:val="24"/>
                <w:szCs w:val="24"/>
              </w:rPr>
            </w:pPr>
            <w:r w:rsidRPr="0080619C">
              <w:rPr>
                <w:rFonts w:ascii="Arial" w:hAnsi="Arial" w:cs="Arial"/>
                <w:b/>
                <w:bCs/>
                <w:sz w:val="24"/>
                <w:szCs w:val="24"/>
              </w:rPr>
              <w:t>8</w:t>
            </w:r>
            <w:r w:rsidR="002410A2">
              <w:rPr>
                <w:rFonts w:ascii="Arial" w:hAnsi="Arial" w:cs="Arial"/>
                <w:b/>
                <w:bCs/>
                <w:sz w:val="24"/>
                <w:szCs w:val="24"/>
              </w:rPr>
              <w:t>2</w:t>
            </w:r>
            <w:r w:rsidRPr="0080619C">
              <w:rPr>
                <w:rFonts w:ascii="Arial" w:hAnsi="Arial" w:cs="Arial"/>
                <w:b/>
                <w:bCs/>
                <w:sz w:val="24"/>
                <w:szCs w:val="24"/>
              </w:rPr>
              <w:t>%</w:t>
            </w:r>
          </w:p>
        </w:tc>
        <w:tc>
          <w:tcPr>
            <w:tcW w:w="3155" w:type="dxa"/>
          </w:tcPr>
          <w:p w14:paraId="54833312" w14:textId="694F8C17" w:rsidR="00E402AC" w:rsidRPr="0080619C" w:rsidRDefault="00E402AC" w:rsidP="004A0896">
            <w:pPr>
              <w:spacing w:before="120" w:after="120"/>
              <w:jc w:val="center"/>
              <w:rPr>
                <w:rFonts w:ascii="Arial" w:hAnsi="Arial" w:cs="Arial"/>
                <w:b/>
                <w:bCs/>
                <w:sz w:val="24"/>
                <w:szCs w:val="24"/>
              </w:rPr>
            </w:pPr>
            <w:r w:rsidRPr="0080619C">
              <w:rPr>
                <w:rFonts w:ascii="Arial" w:hAnsi="Arial" w:cs="Arial"/>
                <w:b/>
                <w:bCs/>
                <w:sz w:val="24"/>
                <w:szCs w:val="24"/>
              </w:rPr>
              <w:t>1</w:t>
            </w:r>
            <w:r w:rsidR="002410A2">
              <w:rPr>
                <w:rFonts w:ascii="Arial" w:hAnsi="Arial" w:cs="Arial"/>
                <w:b/>
                <w:bCs/>
                <w:sz w:val="24"/>
                <w:szCs w:val="24"/>
              </w:rPr>
              <w:t>8</w:t>
            </w:r>
            <w:r w:rsidRPr="0080619C">
              <w:rPr>
                <w:rFonts w:ascii="Arial" w:hAnsi="Arial" w:cs="Arial"/>
                <w:b/>
                <w:bCs/>
                <w:sz w:val="24"/>
                <w:szCs w:val="24"/>
              </w:rPr>
              <w:t>%</w:t>
            </w:r>
          </w:p>
        </w:tc>
      </w:tr>
      <w:tr w:rsidR="00E402AC" w:rsidRPr="0080619C" w14:paraId="72E891D3" w14:textId="77777777" w:rsidTr="00E402AC">
        <w:tc>
          <w:tcPr>
            <w:tcW w:w="3154" w:type="dxa"/>
            <w:shd w:val="clear" w:color="auto" w:fill="B8CCE4" w:themeFill="accent1" w:themeFillTint="66"/>
          </w:tcPr>
          <w:p w14:paraId="04051879" w14:textId="77777777" w:rsidR="00E402AC" w:rsidRPr="0080619C" w:rsidRDefault="00E402AC" w:rsidP="007105E0">
            <w:pPr>
              <w:spacing w:before="120" w:after="120"/>
              <w:rPr>
                <w:rFonts w:ascii="Arial" w:hAnsi="Arial" w:cs="Arial"/>
                <w:bCs/>
                <w:sz w:val="24"/>
                <w:szCs w:val="24"/>
              </w:rPr>
            </w:pPr>
            <w:r w:rsidRPr="0080619C">
              <w:rPr>
                <w:rFonts w:ascii="Arial" w:hAnsi="Arial" w:cs="Arial"/>
                <w:bCs/>
                <w:sz w:val="24"/>
                <w:szCs w:val="24"/>
              </w:rPr>
              <w:t>Executive Team</w:t>
            </w:r>
          </w:p>
        </w:tc>
        <w:tc>
          <w:tcPr>
            <w:tcW w:w="3155" w:type="dxa"/>
          </w:tcPr>
          <w:p w14:paraId="5288930D" w14:textId="24E8139E" w:rsidR="00E402AC" w:rsidRPr="0080619C" w:rsidRDefault="002410A2" w:rsidP="004A52B6">
            <w:pPr>
              <w:spacing w:before="120" w:after="120"/>
              <w:jc w:val="center"/>
              <w:rPr>
                <w:rFonts w:ascii="Arial" w:hAnsi="Arial" w:cs="Arial"/>
                <w:b/>
                <w:bCs/>
                <w:sz w:val="24"/>
                <w:szCs w:val="24"/>
              </w:rPr>
            </w:pPr>
            <w:r>
              <w:rPr>
                <w:rFonts w:ascii="Arial" w:hAnsi="Arial" w:cs="Arial"/>
                <w:b/>
                <w:bCs/>
                <w:sz w:val="24"/>
                <w:szCs w:val="24"/>
              </w:rPr>
              <w:t>3</w:t>
            </w:r>
            <w:r w:rsidR="00146456">
              <w:rPr>
                <w:rFonts w:ascii="Arial" w:hAnsi="Arial" w:cs="Arial"/>
                <w:b/>
                <w:bCs/>
                <w:sz w:val="24"/>
                <w:szCs w:val="24"/>
              </w:rPr>
              <w:t>3</w:t>
            </w:r>
            <w:r w:rsidR="00E402AC" w:rsidRPr="0080619C">
              <w:rPr>
                <w:rFonts w:ascii="Arial" w:hAnsi="Arial" w:cs="Arial"/>
                <w:b/>
                <w:bCs/>
                <w:sz w:val="24"/>
                <w:szCs w:val="24"/>
              </w:rPr>
              <w:t>%</w:t>
            </w:r>
          </w:p>
        </w:tc>
        <w:tc>
          <w:tcPr>
            <w:tcW w:w="3155" w:type="dxa"/>
          </w:tcPr>
          <w:p w14:paraId="5C7E434C" w14:textId="5D58B1B9" w:rsidR="00E402AC" w:rsidRPr="0080619C" w:rsidRDefault="002410A2" w:rsidP="004A0896">
            <w:pPr>
              <w:spacing w:before="120" w:after="120"/>
              <w:jc w:val="center"/>
              <w:rPr>
                <w:rFonts w:ascii="Arial" w:hAnsi="Arial" w:cs="Arial"/>
                <w:b/>
                <w:bCs/>
                <w:sz w:val="24"/>
                <w:szCs w:val="24"/>
              </w:rPr>
            </w:pPr>
            <w:r>
              <w:rPr>
                <w:rFonts w:ascii="Arial" w:hAnsi="Arial" w:cs="Arial"/>
                <w:b/>
                <w:bCs/>
                <w:sz w:val="24"/>
                <w:szCs w:val="24"/>
              </w:rPr>
              <w:t>6</w:t>
            </w:r>
            <w:r w:rsidR="00146456">
              <w:rPr>
                <w:rFonts w:ascii="Arial" w:hAnsi="Arial" w:cs="Arial"/>
                <w:b/>
                <w:bCs/>
                <w:sz w:val="24"/>
                <w:szCs w:val="24"/>
              </w:rPr>
              <w:t>7</w:t>
            </w:r>
            <w:r w:rsidR="00E402AC" w:rsidRPr="0080619C">
              <w:rPr>
                <w:rFonts w:ascii="Arial" w:hAnsi="Arial" w:cs="Arial"/>
                <w:b/>
                <w:bCs/>
                <w:sz w:val="24"/>
                <w:szCs w:val="24"/>
              </w:rPr>
              <w:t>%</w:t>
            </w:r>
          </w:p>
        </w:tc>
      </w:tr>
      <w:tr w:rsidR="00E402AC" w:rsidRPr="0080619C" w14:paraId="422D01F2" w14:textId="77777777" w:rsidTr="00E402AC">
        <w:tc>
          <w:tcPr>
            <w:tcW w:w="3154" w:type="dxa"/>
            <w:shd w:val="clear" w:color="auto" w:fill="B8CCE4" w:themeFill="accent1" w:themeFillTint="66"/>
          </w:tcPr>
          <w:p w14:paraId="5F2F35F9" w14:textId="0C431BBD" w:rsidR="00E402AC" w:rsidRPr="0080619C" w:rsidRDefault="004211C6" w:rsidP="007105E0">
            <w:pPr>
              <w:spacing w:before="120" w:after="120"/>
              <w:rPr>
                <w:rFonts w:ascii="Arial" w:hAnsi="Arial" w:cs="Arial"/>
                <w:bCs/>
                <w:sz w:val="24"/>
                <w:szCs w:val="24"/>
              </w:rPr>
            </w:pPr>
            <w:r>
              <w:rPr>
                <w:rFonts w:ascii="Arial" w:hAnsi="Arial" w:cs="Arial"/>
                <w:bCs/>
                <w:sz w:val="24"/>
                <w:szCs w:val="24"/>
              </w:rPr>
              <w:t>ICB Board</w:t>
            </w:r>
          </w:p>
          <w:p w14:paraId="31368812" w14:textId="77777777" w:rsidR="00E402AC" w:rsidRPr="0080619C" w:rsidRDefault="00E402AC" w:rsidP="007105E0">
            <w:pPr>
              <w:spacing w:before="120" w:after="120"/>
              <w:rPr>
                <w:rFonts w:ascii="Arial" w:hAnsi="Arial" w:cs="Arial"/>
                <w:bCs/>
                <w:sz w:val="24"/>
                <w:szCs w:val="24"/>
              </w:rPr>
            </w:pPr>
            <w:r w:rsidRPr="0080619C">
              <w:rPr>
                <w:rFonts w:ascii="Arial" w:hAnsi="Arial" w:cs="Arial"/>
                <w:bCs/>
                <w:sz w:val="20"/>
                <w:szCs w:val="20"/>
              </w:rPr>
              <w:t>(excluding Executive Team)</w:t>
            </w:r>
          </w:p>
        </w:tc>
        <w:tc>
          <w:tcPr>
            <w:tcW w:w="3155" w:type="dxa"/>
          </w:tcPr>
          <w:p w14:paraId="140EE2A0" w14:textId="769D3D2A" w:rsidR="00E402AC" w:rsidRPr="0080619C" w:rsidRDefault="00146456" w:rsidP="004A52B6">
            <w:pPr>
              <w:spacing w:before="120" w:after="120"/>
              <w:jc w:val="center"/>
              <w:rPr>
                <w:rFonts w:ascii="Arial" w:hAnsi="Arial" w:cs="Arial"/>
                <w:b/>
                <w:bCs/>
                <w:sz w:val="24"/>
                <w:szCs w:val="24"/>
              </w:rPr>
            </w:pPr>
            <w:r>
              <w:rPr>
                <w:rFonts w:ascii="Arial" w:hAnsi="Arial" w:cs="Arial"/>
                <w:b/>
                <w:bCs/>
                <w:sz w:val="24"/>
                <w:szCs w:val="24"/>
              </w:rPr>
              <w:t>6</w:t>
            </w:r>
            <w:r w:rsidR="00760263">
              <w:rPr>
                <w:rFonts w:ascii="Arial" w:hAnsi="Arial" w:cs="Arial"/>
                <w:b/>
                <w:bCs/>
                <w:sz w:val="24"/>
                <w:szCs w:val="24"/>
              </w:rPr>
              <w:t>7</w:t>
            </w:r>
            <w:r w:rsidR="00E402AC" w:rsidRPr="0080619C">
              <w:rPr>
                <w:rFonts w:ascii="Arial" w:hAnsi="Arial" w:cs="Arial"/>
                <w:b/>
                <w:bCs/>
                <w:sz w:val="24"/>
                <w:szCs w:val="24"/>
              </w:rPr>
              <w:t>%</w:t>
            </w:r>
          </w:p>
        </w:tc>
        <w:tc>
          <w:tcPr>
            <w:tcW w:w="3155" w:type="dxa"/>
          </w:tcPr>
          <w:p w14:paraId="1A18BD90" w14:textId="39F8D7EF" w:rsidR="00E402AC" w:rsidRPr="0080619C" w:rsidRDefault="00760263" w:rsidP="004A0896">
            <w:pPr>
              <w:spacing w:before="120" w:after="120"/>
              <w:jc w:val="center"/>
              <w:rPr>
                <w:rFonts w:ascii="Arial" w:hAnsi="Arial" w:cs="Arial"/>
                <w:b/>
                <w:bCs/>
                <w:sz w:val="24"/>
                <w:szCs w:val="24"/>
              </w:rPr>
            </w:pPr>
            <w:r>
              <w:rPr>
                <w:rFonts w:ascii="Arial" w:hAnsi="Arial" w:cs="Arial"/>
                <w:b/>
                <w:bCs/>
                <w:sz w:val="24"/>
                <w:szCs w:val="24"/>
              </w:rPr>
              <w:t>33</w:t>
            </w:r>
            <w:r w:rsidR="00E402AC" w:rsidRPr="0080619C">
              <w:rPr>
                <w:rFonts w:ascii="Arial" w:hAnsi="Arial" w:cs="Arial"/>
                <w:b/>
                <w:bCs/>
                <w:sz w:val="24"/>
                <w:szCs w:val="24"/>
              </w:rPr>
              <w:t>%</w:t>
            </w:r>
          </w:p>
        </w:tc>
      </w:tr>
      <w:tr w:rsidR="00E402AC" w:rsidRPr="0080619C" w14:paraId="58911196" w14:textId="77777777" w:rsidTr="00E402AC">
        <w:tc>
          <w:tcPr>
            <w:tcW w:w="3154" w:type="dxa"/>
            <w:shd w:val="clear" w:color="auto" w:fill="B8CCE4" w:themeFill="accent1" w:themeFillTint="66"/>
          </w:tcPr>
          <w:p w14:paraId="53B08970" w14:textId="77777777" w:rsidR="00E402AC" w:rsidRPr="0080619C" w:rsidRDefault="00E402AC" w:rsidP="007105E0">
            <w:pPr>
              <w:spacing w:before="120" w:after="120"/>
              <w:rPr>
                <w:rFonts w:ascii="Arial" w:hAnsi="Arial" w:cs="Arial"/>
                <w:bCs/>
                <w:sz w:val="24"/>
                <w:szCs w:val="24"/>
              </w:rPr>
            </w:pPr>
            <w:r w:rsidRPr="0080619C">
              <w:rPr>
                <w:rFonts w:ascii="Arial" w:hAnsi="Arial" w:cs="Arial"/>
                <w:bCs/>
                <w:sz w:val="24"/>
                <w:szCs w:val="24"/>
              </w:rPr>
              <w:t>GP Clinical Leads/</w:t>
            </w:r>
          </w:p>
          <w:p w14:paraId="36957670" w14:textId="77777777" w:rsidR="00E402AC" w:rsidRPr="0080619C" w:rsidRDefault="00E402AC" w:rsidP="007105E0">
            <w:pPr>
              <w:spacing w:before="120" w:after="120"/>
              <w:rPr>
                <w:rFonts w:ascii="Arial" w:hAnsi="Arial" w:cs="Arial"/>
                <w:bCs/>
                <w:sz w:val="24"/>
                <w:szCs w:val="24"/>
              </w:rPr>
            </w:pPr>
            <w:r w:rsidRPr="0080619C">
              <w:rPr>
                <w:rFonts w:ascii="Arial" w:hAnsi="Arial" w:cs="Arial"/>
                <w:bCs/>
                <w:sz w:val="24"/>
                <w:szCs w:val="24"/>
              </w:rPr>
              <w:t>GP Place Leads</w:t>
            </w:r>
          </w:p>
        </w:tc>
        <w:tc>
          <w:tcPr>
            <w:tcW w:w="3155" w:type="dxa"/>
          </w:tcPr>
          <w:p w14:paraId="1EED7DFB" w14:textId="7544E7CB" w:rsidR="00E402AC" w:rsidRPr="0080619C" w:rsidRDefault="00760263" w:rsidP="004A52B6">
            <w:pPr>
              <w:spacing w:before="120" w:after="120"/>
              <w:jc w:val="center"/>
              <w:rPr>
                <w:rFonts w:ascii="Arial" w:hAnsi="Arial" w:cs="Arial"/>
                <w:b/>
                <w:bCs/>
                <w:sz w:val="24"/>
                <w:szCs w:val="24"/>
              </w:rPr>
            </w:pPr>
            <w:r>
              <w:rPr>
                <w:rFonts w:ascii="Arial" w:hAnsi="Arial" w:cs="Arial"/>
                <w:b/>
                <w:bCs/>
                <w:sz w:val="24"/>
                <w:szCs w:val="24"/>
              </w:rPr>
              <w:t>60</w:t>
            </w:r>
            <w:r w:rsidR="00E402AC" w:rsidRPr="0080619C">
              <w:rPr>
                <w:rFonts w:ascii="Arial" w:hAnsi="Arial" w:cs="Arial"/>
                <w:b/>
                <w:bCs/>
                <w:sz w:val="24"/>
                <w:szCs w:val="24"/>
              </w:rPr>
              <w:t>%</w:t>
            </w:r>
          </w:p>
        </w:tc>
        <w:tc>
          <w:tcPr>
            <w:tcW w:w="3155" w:type="dxa"/>
          </w:tcPr>
          <w:p w14:paraId="1806D11D" w14:textId="127362BA" w:rsidR="00E402AC" w:rsidRPr="0080619C" w:rsidRDefault="00146456" w:rsidP="004A0896">
            <w:pPr>
              <w:spacing w:before="120" w:after="120"/>
              <w:jc w:val="center"/>
              <w:rPr>
                <w:rFonts w:ascii="Arial" w:hAnsi="Arial" w:cs="Arial"/>
                <w:b/>
                <w:bCs/>
                <w:sz w:val="24"/>
                <w:szCs w:val="24"/>
              </w:rPr>
            </w:pPr>
            <w:r>
              <w:rPr>
                <w:rFonts w:ascii="Arial" w:hAnsi="Arial" w:cs="Arial"/>
                <w:b/>
                <w:bCs/>
                <w:sz w:val="24"/>
                <w:szCs w:val="24"/>
              </w:rPr>
              <w:t>4</w:t>
            </w:r>
            <w:r w:rsidR="00760263">
              <w:rPr>
                <w:rFonts w:ascii="Arial" w:hAnsi="Arial" w:cs="Arial"/>
                <w:b/>
                <w:bCs/>
                <w:sz w:val="24"/>
                <w:szCs w:val="24"/>
              </w:rPr>
              <w:t>0</w:t>
            </w:r>
            <w:r w:rsidR="00E402AC" w:rsidRPr="0080619C">
              <w:rPr>
                <w:rFonts w:ascii="Arial" w:hAnsi="Arial" w:cs="Arial"/>
                <w:b/>
                <w:bCs/>
                <w:sz w:val="24"/>
                <w:szCs w:val="24"/>
              </w:rPr>
              <w:t>%</w:t>
            </w:r>
          </w:p>
        </w:tc>
      </w:tr>
    </w:tbl>
    <w:p w14:paraId="505C8F58" w14:textId="77777777" w:rsidR="00A057E4" w:rsidRPr="008443AE" w:rsidRDefault="00A057E4" w:rsidP="00E700ED">
      <w:pPr>
        <w:rPr>
          <w:rFonts w:ascii="Arial" w:hAnsi="Arial" w:cs="Arial"/>
          <w:sz w:val="24"/>
          <w:szCs w:val="24"/>
          <w:highlight w:val="yellow"/>
        </w:rPr>
      </w:pPr>
    </w:p>
    <w:p w14:paraId="0096B125" w14:textId="77777777" w:rsidR="008167B2" w:rsidRDefault="008167B2">
      <w:pPr>
        <w:rPr>
          <w:rFonts w:ascii="Arial" w:eastAsiaTheme="majorEastAsia" w:hAnsi="Arial" w:cs="Arial"/>
          <w:b/>
          <w:bCs/>
          <w:sz w:val="24"/>
          <w:szCs w:val="24"/>
        </w:rPr>
      </w:pPr>
      <w:bookmarkStart w:id="4" w:name="_Toc68001646"/>
      <w:r>
        <w:rPr>
          <w:rFonts w:ascii="Arial" w:hAnsi="Arial" w:cs="Arial"/>
          <w:sz w:val="24"/>
          <w:szCs w:val="24"/>
        </w:rPr>
        <w:br w:type="page"/>
      </w:r>
    </w:p>
    <w:p w14:paraId="09F3F35F" w14:textId="2C02C044" w:rsidR="00EC6BEF" w:rsidRPr="0080619C" w:rsidRDefault="00B46291" w:rsidP="003C43AC">
      <w:pPr>
        <w:pStyle w:val="Heading1"/>
        <w:spacing w:before="120" w:after="120"/>
        <w:rPr>
          <w:rFonts w:ascii="Arial" w:hAnsi="Arial" w:cs="Arial"/>
          <w:color w:val="auto"/>
          <w:sz w:val="24"/>
          <w:szCs w:val="24"/>
        </w:rPr>
      </w:pPr>
      <w:r w:rsidRPr="0080619C">
        <w:rPr>
          <w:rFonts w:ascii="Arial" w:hAnsi="Arial" w:cs="Arial"/>
          <w:color w:val="auto"/>
          <w:sz w:val="24"/>
          <w:szCs w:val="24"/>
        </w:rPr>
        <w:lastRenderedPageBreak/>
        <w:t>5</w:t>
      </w:r>
      <w:r w:rsidR="003C43AC" w:rsidRPr="0080619C">
        <w:rPr>
          <w:rFonts w:ascii="Arial" w:hAnsi="Arial" w:cs="Arial"/>
          <w:color w:val="auto"/>
          <w:sz w:val="24"/>
          <w:szCs w:val="24"/>
        </w:rPr>
        <w:t>.0</w:t>
      </w:r>
      <w:r w:rsidR="003C43AC" w:rsidRPr="0080619C">
        <w:rPr>
          <w:rFonts w:ascii="Arial" w:hAnsi="Arial" w:cs="Arial"/>
          <w:color w:val="auto"/>
          <w:sz w:val="24"/>
          <w:szCs w:val="24"/>
        </w:rPr>
        <w:tab/>
      </w:r>
      <w:r w:rsidR="00EC6BEF" w:rsidRPr="0080619C">
        <w:rPr>
          <w:rFonts w:ascii="Arial" w:hAnsi="Arial" w:cs="Arial"/>
          <w:color w:val="auto"/>
          <w:sz w:val="24"/>
          <w:szCs w:val="24"/>
        </w:rPr>
        <w:t>ANALYSIS BY SEX AND PAY BAND</w:t>
      </w:r>
      <w:bookmarkEnd w:id="4"/>
    </w:p>
    <w:p w14:paraId="6ECC332A" w14:textId="77777777" w:rsidR="00EC6BEF" w:rsidRPr="0080619C" w:rsidRDefault="00EC6BEF" w:rsidP="00EC6BEF">
      <w:pPr>
        <w:rPr>
          <w:rFonts w:ascii="Arial" w:eastAsiaTheme="majorEastAsia" w:hAnsi="Arial" w:cs="Arial"/>
          <w:bCs/>
          <w:sz w:val="24"/>
          <w:szCs w:val="24"/>
        </w:rPr>
      </w:pPr>
      <w:r w:rsidRPr="0080619C">
        <w:rPr>
          <w:rFonts w:ascii="Arial" w:eastAsiaTheme="majorEastAsia" w:hAnsi="Arial" w:cs="Arial"/>
          <w:bCs/>
          <w:sz w:val="24"/>
          <w:szCs w:val="24"/>
        </w:rPr>
        <w:t xml:space="preserve">Analysis by sex and pay band </w:t>
      </w:r>
      <w:r w:rsidR="00685EEA" w:rsidRPr="0080619C">
        <w:rPr>
          <w:rFonts w:ascii="Arial" w:eastAsiaTheme="majorEastAsia" w:hAnsi="Arial" w:cs="Arial"/>
          <w:bCs/>
          <w:sz w:val="24"/>
          <w:szCs w:val="24"/>
        </w:rPr>
        <w:t xml:space="preserve">for employees </w:t>
      </w:r>
      <w:r w:rsidRPr="0080619C">
        <w:rPr>
          <w:rFonts w:ascii="Arial" w:eastAsiaTheme="majorEastAsia" w:hAnsi="Arial" w:cs="Arial"/>
          <w:bCs/>
          <w:sz w:val="24"/>
          <w:szCs w:val="24"/>
        </w:rPr>
        <w:t>shows the following:</w:t>
      </w:r>
    </w:p>
    <w:p w14:paraId="2AD3C02E" w14:textId="7FF5C756" w:rsidR="00EC6BEF" w:rsidRPr="008443AE" w:rsidRDefault="00760263" w:rsidP="006B7CAD">
      <w:pPr>
        <w:rPr>
          <w:rFonts w:ascii="Arial" w:hAnsi="Arial" w:cs="Arial"/>
          <w:sz w:val="24"/>
          <w:szCs w:val="24"/>
          <w:highlight w:val="yellow"/>
        </w:rPr>
      </w:pPr>
      <w:r>
        <w:rPr>
          <w:noProof/>
        </w:rPr>
        <w:drawing>
          <wp:inline distT="0" distB="0" distL="0" distR="0" wp14:anchorId="12ED2AC7" wp14:editId="1CD7BAF0">
            <wp:extent cx="5670550" cy="3270250"/>
            <wp:effectExtent l="0" t="0" r="6350" b="6350"/>
            <wp:docPr id="715598459" name="Chart 1">
              <a:extLst xmlns:a="http://schemas.openxmlformats.org/drawingml/2006/main">
                <a:ext uri="{FF2B5EF4-FFF2-40B4-BE49-F238E27FC236}">
                  <a16:creationId xmlns:a16="http://schemas.microsoft.com/office/drawing/2014/main" id="{11ABF3E2-E774-95FF-7C53-7C39496DE4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806A2C" w14:textId="49A28635" w:rsidR="00EC6BEF" w:rsidRPr="0080619C" w:rsidRDefault="00760263" w:rsidP="00EC6BEF">
      <w:pPr>
        <w:rPr>
          <w:rFonts w:ascii="Arial" w:hAnsi="Arial" w:cs="Arial"/>
          <w:sz w:val="24"/>
          <w:szCs w:val="24"/>
        </w:rPr>
      </w:pPr>
      <w:r>
        <w:rPr>
          <w:rFonts w:ascii="Arial" w:hAnsi="Arial" w:cs="Arial"/>
          <w:sz w:val="24"/>
          <w:szCs w:val="24"/>
        </w:rPr>
        <w:t>50</w:t>
      </w:r>
      <w:r w:rsidR="00EC6BEF" w:rsidRPr="0080619C">
        <w:rPr>
          <w:rFonts w:ascii="Arial" w:hAnsi="Arial" w:cs="Arial"/>
          <w:sz w:val="24"/>
          <w:szCs w:val="24"/>
        </w:rPr>
        <w:t xml:space="preserve">% of the staff in </w:t>
      </w:r>
      <w:r w:rsidR="00B46291" w:rsidRPr="0080619C">
        <w:rPr>
          <w:rFonts w:ascii="Arial" w:hAnsi="Arial" w:cs="Arial"/>
          <w:sz w:val="24"/>
          <w:szCs w:val="24"/>
        </w:rPr>
        <w:t xml:space="preserve">Very Senior Manager </w:t>
      </w:r>
      <w:r w:rsidR="00EC6BEF" w:rsidRPr="0080619C">
        <w:rPr>
          <w:rFonts w:ascii="Arial" w:hAnsi="Arial" w:cs="Arial"/>
          <w:sz w:val="24"/>
          <w:szCs w:val="24"/>
        </w:rPr>
        <w:t>‘</w:t>
      </w:r>
      <w:r w:rsidR="00B46291" w:rsidRPr="0080619C">
        <w:rPr>
          <w:rFonts w:ascii="Arial" w:hAnsi="Arial" w:cs="Arial"/>
          <w:sz w:val="24"/>
          <w:szCs w:val="24"/>
        </w:rPr>
        <w:t>VSM</w:t>
      </w:r>
      <w:r w:rsidR="00EC6BEF" w:rsidRPr="0080619C">
        <w:rPr>
          <w:rFonts w:ascii="Arial" w:hAnsi="Arial" w:cs="Arial"/>
          <w:sz w:val="24"/>
          <w:szCs w:val="24"/>
        </w:rPr>
        <w:t xml:space="preserve">’ pay bands, which are executive director or </w:t>
      </w:r>
      <w:r w:rsidR="00B46291" w:rsidRPr="0080619C">
        <w:rPr>
          <w:rFonts w:ascii="Arial" w:hAnsi="Arial" w:cs="Arial"/>
          <w:sz w:val="24"/>
          <w:szCs w:val="24"/>
        </w:rPr>
        <w:t>director</w:t>
      </w:r>
      <w:r w:rsidR="00EC6BEF" w:rsidRPr="0080619C">
        <w:rPr>
          <w:rFonts w:ascii="Arial" w:hAnsi="Arial" w:cs="Arial"/>
          <w:sz w:val="24"/>
          <w:szCs w:val="24"/>
        </w:rPr>
        <w:t xml:space="preserve"> positions are </w:t>
      </w:r>
      <w:r w:rsidR="00DC3A91">
        <w:rPr>
          <w:rFonts w:ascii="Arial" w:hAnsi="Arial" w:cs="Arial"/>
          <w:sz w:val="24"/>
          <w:szCs w:val="24"/>
        </w:rPr>
        <w:t>fe</w:t>
      </w:r>
      <w:r w:rsidR="00EC6BEF" w:rsidRPr="0080619C">
        <w:rPr>
          <w:rFonts w:ascii="Arial" w:hAnsi="Arial" w:cs="Arial"/>
          <w:sz w:val="24"/>
          <w:szCs w:val="24"/>
        </w:rPr>
        <w:t>male</w:t>
      </w:r>
      <w:r w:rsidR="00B46291" w:rsidRPr="0080619C">
        <w:rPr>
          <w:rFonts w:ascii="Arial" w:hAnsi="Arial" w:cs="Arial"/>
          <w:sz w:val="24"/>
          <w:szCs w:val="24"/>
        </w:rPr>
        <w:t>.</w:t>
      </w:r>
    </w:p>
    <w:tbl>
      <w:tblPr>
        <w:tblStyle w:val="TableGrid"/>
        <w:tblW w:w="9464" w:type="dxa"/>
        <w:tblLook w:val="04A0" w:firstRow="1" w:lastRow="0" w:firstColumn="1" w:lastColumn="0" w:noHBand="0" w:noVBand="1"/>
      </w:tblPr>
      <w:tblGrid>
        <w:gridCol w:w="3154"/>
        <w:gridCol w:w="3155"/>
        <w:gridCol w:w="3155"/>
      </w:tblGrid>
      <w:tr w:rsidR="00320F10" w:rsidRPr="008443AE" w14:paraId="70CD6510" w14:textId="77777777" w:rsidTr="00C40FC0">
        <w:tc>
          <w:tcPr>
            <w:tcW w:w="3154" w:type="dxa"/>
            <w:shd w:val="clear" w:color="auto" w:fill="B8CCE4" w:themeFill="accent1" w:themeFillTint="66"/>
          </w:tcPr>
          <w:p w14:paraId="1FE91382" w14:textId="77777777" w:rsidR="00320F10" w:rsidRPr="008443AE" w:rsidRDefault="00320F10" w:rsidP="00C40FC0">
            <w:pPr>
              <w:spacing w:before="120" w:after="120"/>
              <w:rPr>
                <w:rFonts w:ascii="Arial" w:hAnsi="Arial" w:cs="Arial"/>
                <w:bCs/>
                <w:sz w:val="24"/>
                <w:szCs w:val="24"/>
                <w:highlight w:val="yellow"/>
              </w:rPr>
            </w:pPr>
          </w:p>
        </w:tc>
        <w:tc>
          <w:tcPr>
            <w:tcW w:w="3155" w:type="dxa"/>
          </w:tcPr>
          <w:p w14:paraId="4B9E1E05" w14:textId="77777777" w:rsidR="00320F10" w:rsidRPr="0080619C" w:rsidRDefault="00320F10" w:rsidP="00C40FC0">
            <w:pPr>
              <w:spacing w:before="120" w:after="120"/>
              <w:jc w:val="center"/>
              <w:rPr>
                <w:rFonts w:ascii="Arial" w:hAnsi="Arial" w:cs="Arial"/>
                <w:b/>
                <w:bCs/>
                <w:sz w:val="24"/>
                <w:szCs w:val="24"/>
              </w:rPr>
            </w:pPr>
            <w:r w:rsidRPr="0080619C">
              <w:rPr>
                <w:rFonts w:ascii="Arial" w:hAnsi="Arial" w:cs="Arial"/>
                <w:b/>
                <w:bCs/>
                <w:sz w:val="24"/>
                <w:szCs w:val="24"/>
              </w:rPr>
              <w:t>Female</w:t>
            </w:r>
          </w:p>
        </w:tc>
        <w:tc>
          <w:tcPr>
            <w:tcW w:w="3155" w:type="dxa"/>
          </w:tcPr>
          <w:p w14:paraId="0BF27DB6" w14:textId="77777777" w:rsidR="00320F10" w:rsidRPr="0080619C" w:rsidRDefault="00320F10" w:rsidP="00C40FC0">
            <w:pPr>
              <w:spacing w:before="120" w:after="120"/>
              <w:jc w:val="center"/>
              <w:rPr>
                <w:rFonts w:ascii="Arial" w:hAnsi="Arial" w:cs="Arial"/>
                <w:b/>
                <w:bCs/>
                <w:sz w:val="24"/>
                <w:szCs w:val="24"/>
              </w:rPr>
            </w:pPr>
            <w:r w:rsidRPr="0080619C">
              <w:rPr>
                <w:rFonts w:ascii="Arial" w:hAnsi="Arial" w:cs="Arial"/>
                <w:b/>
                <w:bCs/>
                <w:sz w:val="24"/>
                <w:szCs w:val="24"/>
              </w:rPr>
              <w:t>Male</w:t>
            </w:r>
          </w:p>
        </w:tc>
      </w:tr>
      <w:tr w:rsidR="00320F10" w:rsidRPr="008443AE" w14:paraId="7BBEDDCB" w14:textId="77777777" w:rsidTr="00C40FC0">
        <w:tc>
          <w:tcPr>
            <w:tcW w:w="3154" w:type="dxa"/>
            <w:shd w:val="clear" w:color="auto" w:fill="B8CCE4" w:themeFill="accent1" w:themeFillTint="66"/>
          </w:tcPr>
          <w:p w14:paraId="13B2CBD7" w14:textId="77777777" w:rsidR="00320F10" w:rsidRPr="0080619C" w:rsidRDefault="00320F10" w:rsidP="00C40FC0">
            <w:pPr>
              <w:spacing w:before="120" w:after="120"/>
              <w:rPr>
                <w:rFonts w:ascii="Arial" w:hAnsi="Arial" w:cs="Arial"/>
                <w:bCs/>
                <w:sz w:val="24"/>
                <w:szCs w:val="24"/>
              </w:rPr>
            </w:pPr>
            <w:r w:rsidRPr="0080619C">
              <w:rPr>
                <w:rFonts w:ascii="Arial" w:hAnsi="Arial" w:cs="Arial"/>
                <w:bCs/>
                <w:sz w:val="24"/>
                <w:szCs w:val="24"/>
              </w:rPr>
              <w:t>Executive Team</w:t>
            </w:r>
          </w:p>
        </w:tc>
        <w:tc>
          <w:tcPr>
            <w:tcW w:w="3155" w:type="dxa"/>
          </w:tcPr>
          <w:p w14:paraId="4D42C58F" w14:textId="67A5D631" w:rsidR="00320F10" w:rsidRPr="0080619C" w:rsidRDefault="00760263" w:rsidP="00C40FC0">
            <w:pPr>
              <w:spacing w:before="120" w:after="120"/>
              <w:jc w:val="center"/>
              <w:rPr>
                <w:rFonts w:ascii="Arial" w:hAnsi="Arial" w:cs="Arial"/>
                <w:b/>
                <w:bCs/>
                <w:sz w:val="24"/>
                <w:szCs w:val="24"/>
              </w:rPr>
            </w:pPr>
            <w:r>
              <w:rPr>
                <w:rFonts w:ascii="Arial" w:hAnsi="Arial" w:cs="Arial"/>
                <w:b/>
                <w:bCs/>
                <w:sz w:val="24"/>
                <w:szCs w:val="24"/>
              </w:rPr>
              <w:t>3</w:t>
            </w:r>
            <w:r w:rsidR="00872645">
              <w:rPr>
                <w:rFonts w:ascii="Arial" w:hAnsi="Arial" w:cs="Arial"/>
                <w:b/>
                <w:bCs/>
                <w:sz w:val="24"/>
                <w:szCs w:val="24"/>
              </w:rPr>
              <w:t>3</w:t>
            </w:r>
            <w:r w:rsidR="00320F10" w:rsidRPr="0080619C">
              <w:rPr>
                <w:rFonts w:ascii="Arial" w:hAnsi="Arial" w:cs="Arial"/>
                <w:b/>
                <w:bCs/>
                <w:sz w:val="24"/>
                <w:szCs w:val="24"/>
              </w:rPr>
              <w:t>%</w:t>
            </w:r>
          </w:p>
        </w:tc>
        <w:tc>
          <w:tcPr>
            <w:tcW w:w="3155" w:type="dxa"/>
          </w:tcPr>
          <w:p w14:paraId="15A1D040" w14:textId="6D24BF07" w:rsidR="00320F10" w:rsidRPr="0080619C" w:rsidRDefault="00760263" w:rsidP="00C40FC0">
            <w:pPr>
              <w:spacing w:before="120" w:after="120"/>
              <w:jc w:val="center"/>
              <w:rPr>
                <w:rFonts w:ascii="Arial" w:hAnsi="Arial" w:cs="Arial"/>
                <w:b/>
                <w:bCs/>
                <w:sz w:val="24"/>
                <w:szCs w:val="24"/>
              </w:rPr>
            </w:pPr>
            <w:r>
              <w:rPr>
                <w:rFonts w:ascii="Arial" w:hAnsi="Arial" w:cs="Arial"/>
                <w:b/>
                <w:bCs/>
                <w:sz w:val="24"/>
                <w:szCs w:val="24"/>
              </w:rPr>
              <w:t>6</w:t>
            </w:r>
            <w:r w:rsidR="00872645">
              <w:rPr>
                <w:rFonts w:ascii="Arial" w:hAnsi="Arial" w:cs="Arial"/>
                <w:b/>
                <w:bCs/>
                <w:sz w:val="24"/>
                <w:szCs w:val="24"/>
              </w:rPr>
              <w:t>7</w:t>
            </w:r>
            <w:r w:rsidR="00320F10" w:rsidRPr="0080619C">
              <w:rPr>
                <w:rFonts w:ascii="Arial" w:hAnsi="Arial" w:cs="Arial"/>
                <w:b/>
                <w:bCs/>
                <w:sz w:val="24"/>
                <w:szCs w:val="24"/>
              </w:rPr>
              <w:t>%</w:t>
            </w:r>
          </w:p>
        </w:tc>
      </w:tr>
      <w:tr w:rsidR="00320F10" w:rsidRPr="008443AE" w14:paraId="15C61292" w14:textId="77777777" w:rsidTr="00C40FC0">
        <w:tc>
          <w:tcPr>
            <w:tcW w:w="3154" w:type="dxa"/>
            <w:shd w:val="clear" w:color="auto" w:fill="B8CCE4" w:themeFill="accent1" w:themeFillTint="66"/>
          </w:tcPr>
          <w:p w14:paraId="62369081" w14:textId="7FB9DCB0" w:rsidR="00320F10" w:rsidRPr="0080619C" w:rsidRDefault="00320F10" w:rsidP="00C40FC0">
            <w:pPr>
              <w:spacing w:before="120" w:after="120"/>
              <w:rPr>
                <w:rFonts w:ascii="Arial" w:hAnsi="Arial" w:cs="Arial"/>
                <w:bCs/>
                <w:sz w:val="24"/>
                <w:szCs w:val="24"/>
              </w:rPr>
            </w:pPr>
            <w:r w:rsidRPr="0080619C">
              <w:rPr>
                <w:rFonts w:ascii="Arial" w:hAnsi="Arial" w:cs="Arial"/>
                <w:bCs/>
                <w:sz w:val="24"/>
                <w:szCs w:val="24"/>
              </w:rPr>
              <w:t>Functional Directors</w:t>
            </w:r>
            <w:r w:rsidR="0060229A" w:rsidRPr="0080619C">
              <w:rPr>
                <w:rFonts w:ascii="Arial" w:hAnsi="Arial" w:cs="Arial"/>
                <w:bCs/>
                <w:sz w:val="24"/>
                <w:szCs w:val="24"/>
              </w:rPr>
              <w:t>*</w:t>
            </w:r>
          </w:p>
        </w:tc>
        <w:tc>
          <w:tcPr>
            <w:tcW w:w="3155" w:type="dxa"/>
          </w:tcPr>
          <w:p w14:paraId="6252896A" w14:textId="34955280" w:rsidR="00320F10" w:rsidRPr="0080619C" w:rsidRDefault="007909A7" w:rsidP="0060229A">
            <w:pPr>
              <w:spacing w:before="120" w:after="120"/>
              <w:jc w:val="center"/>
              <w:rPr>
                <w:rFonts w:ascii="Arial" w:hAnsi="Arial" w:cs="Arial"/>
                <w:b/>
                <w:bCs/>
                <w:sz w:val="24"/>
                <w:szCs w:val="24"/>
              </w:rPr>
            </w:pPr>
            <w:r>
              <w:rPr>
                <w:rFonts w:ascii="Arial" w:hAnsi="Arial" w:cs="Arial"/>
                <w:b/>
                <w:bCs/>
                <w:sz w:val="24"/>
                <w:szCs w:val="24"/>
              </w:rPr>
              <w:t>57</w:t>
            </w:r>
            <w:r w:rsidR="00320F10" w:rsidRPr="0080619C">
              <w:rPr>
                <w:rFonts w:ascii="Arial" w:hAnsi="Arial" w:cs="Arial"/>
                <w:b/>
                <w:bCs/>
                <w:sz w:val="24"/>
                <w:szCs w:val="24"/>
              </w:rPr>
              <w:t>%</w:t>
            </w:r>
          </w:p>
        </w:tc>
        <w:tc>
          <w:tcPr>
            <w:tcW w:w="3155" w:type="dxa"/>
          </w:tcPr>
          <w:p w14:paraId="136E9E92" w14:textId="57F71A74" w:rsidR="00320F10" w:rsidRPr="0080619C" w:rsidRDefault="007909A7" w:rsidP="00C40FC0">
            <w:pPr>
              <w:spacing w:before="120" w:after="120"/>
              <w:jc w:val="center"/>
              <w:rPr>
                <w:rFonts w:ascii="Arial" w:hAnsi="Arial" w:cs="Arial"/>
                <w:b/>
                <w:bCs/>
                <w:sz w:val="24"/>
                <w:szCs w:val="24"/>
              </w:rPr>
            </w:pPr>
            <w:r>
              <w:rPr>
                <w:rFonts w:ascii="Arial" w:hAnsi="Arial" w:cs="Arial"/>
                <w:b/>
                <w:bCs/>
                <w:sz w:val="24"/>
                <w:szCs w:val="24"/>
              </w:rPr>
              <w:t>43</w:t>
            </w:r>
            <w:r w:rsidR="00320F10" w:rsidRPr="0080619C">
              <w:rPr>
                <w:rFonts w:ascii="Arial" w:hAnsi="Arial" w:cs="Arial"/>
                <w:b/>
                <w:bCs/>
                <w:sz w:val="24"/>
                <w:szCs w:val="24"/>
              </w:rPr>
              <w:t>%</w:t>
            </w:r>
          </w:p>
        </w:tc>
      </w:tr>
    </w:tbl>
    <w:p w14:paraId="534CB0B7" w14:textId="77777777" w:rsidR="00320F10" w:rsidRPr="008443AE" w:rsidRDefault="00320F10" w:rsidP="00EC6BEF">
      <w:pPr>
        <w:rPr>
          <w:rFonts w:ascii="Arial" w:hAnsi="Arial" w:cs="Arial"/>
          <w:sz w:val="24"/>
          <w:szCs w:val="24"/>
          <w:highlight w:val="yellow"/>
        </w:rPr>
      </w:pPr>
    </w:p>
    <w:p w14:paraId="1175DC13" w14:textId="2A7CA074" w:rsidR="00EC6BEF" w:rsidRPr="008028D8" w:rsidRDefault="007909A7" w:rsidP="00EC6BEF">
      <w:pPr>
        <w:rPr>
          <w:rFonts w:ascii="Arial" w:hAnsi="Arial" w:cs="Arial"/>
          <w:sz w:val="24"/>
          <w:szCs w:val="24"/>
        </w:rPr>
      </w:pPr>
      <w:r>
        <w:rPr>
          <w:rFonts w:ascii="Arial" w:hAnsi="Arial" w:cs="Arial"/>
          <w:sz w:val="24"/>
          <w:szCs w:val="24"/>
        </w:rPr>
        <w:t>8</w:t>
      </w:r>
      <w:r w:rsidR="0071188D" w:rsidRPr="008028D8">
        <w:rPr>
          <w:rFonts w:ascii="Arial" w:hAnsi="Arial" w:cs="Arial"/>
          <w:sz w:val="24"/>
          <w:szCs w:val="24"/>
        </w:rPr>
        <w:t>9</w:t>
      </w:r>
      <w:r w:rsidR="00EC6BEF" w:rsidRPr="008028D8">
        <w:rPr>
          <w:rFonts w:ascii="Arial" w:hAnsi="Arial" w:cs="Arial"/>
          <w:sz w:val="24"/>
          <w:szCs w:val="24"/>
        </w:rPr>
        <w:t>% of males and 9</w:t>
      </w:r>
      <w:r w:rsidR="008028D8">
        <w:rPr>
          <w:rFonts w:ascii="Arial" w:hAnsi="Arial" w:cs="Arial"/>
          <w:sz w:val="24"/>
          <w:szCs w:val="24"/>
        </w:rPr>
        <w:t>7</w:t>
      </w:r>
      <w:r w:rsidR="00EC6BEF" w:rsidRPr="008028D8">
        <w:rPr>
          <w:rFonts w:ascii="Arial" w:hAnsi="Arial" w:cs="Arial"/>
          <w:sz w:val="24"/>
          <w:szCs w:val="24"/>
        </w:rPr>
        <w:t>% of females are on NHS Agenda for Change terms and conditions.</w:t>
      </w:r>
    </w:p>
    <w:p w14:paraId="71888051" w14:textId="77777777" w:rsidR="006B7CAD" w:rsidRPr="008443AE" w:rsidRDefault="006B7CAD" w:rsidP="003C43AC">
      <w:pPr>
        <w:pStyle w:val="Heading1"/>
        <w:spacing w:before="120" w:after="120"/>
        <w:rPr>
          <w:rFonts w:ascii="Arial" w:hAnsi="Arial" w:cs="Arial"/>
          <w:color w:val="auto"/>
          <w:sz w:val="24"/>
          <w:szCs w:val="24"/>
          <w:highlight w:val="yellow"/>
        </w:rPr>
      </w:pPr>
    </w:p>
    <w:p w14:paraId="1CAFA534" w14:textId="77777777" w:rsidR="003C43AC" w:rsidRPr="008028D8" w:rsidRDefault="00EC6BEF" w:rsidP="003C43AC">
      <w:pPr>
        <w:pStyle w:val="Heading1"/>
        <w:spacing w:before="120" w:after="120"/>
        <w:rPr>
          <w:rFonts w:ascii="Arial" w:hAnsi="Arial" w:cs="Arial"/>
          <w:color w:val="auto"/>
          <w:sz w:val="24"/>
          <w:szCs w:val="24"/>
        </w:rPr>
      </w:pPr>
      <w:bookmarkStart w:id="5" w:name="_Toc68001647"/>
      <w:r w:rsidRPr="008028D8">
        <w:rPr>
          <w:rFonts w:ascii="Arial" w:hAnsi="Arial" w:cs="Arial"/>
          <w:color w:val="auto"/>
          <w:sz w:val="24"/>
          <w:szCs w:val="24"/>
        </w:rPr>
        <w:t>6.0</w:t>
      </w:r>
      <w:r w:rsidRPr="008028D8">
        <w:rPr>
          <w:rFonts w:ascii="Arial" w:hAnsi="Arial" w:cs="Arial"/>
          <w:color w:val="auto"/>
          <w:sz w:val="24"/>
          <w:szCs w:val="24"/>
        </w:rPr>
        <w:tab/>
      </w:r>
      <w:r w:rsidR="003C43AC" w:rsidRPr="008028D8">
        <w:rPr>
          <w:rFonts w:ascii="Arial" w:hAnsi="Arial" w:cs="Arial"/>
          <w:color w:val="auto"/>
          <w:sz w:val="24"/>
          <w:szCs w:val="24"/>
        </w:rPr>
        <w:t>GENDER PAY GAP</w:t>
      </w:r>
      <w:bookmarkEnd w:id="5"/>
    </w:p>
    <w:p w14:paraId="19618672" w14:textId="30169403" w:rsidR="003C43AC" w:rsidRDefault="00752947" w:rsidP="00E700ED">
      <w:pPr>
        <w:rPr>
          <w:rFonts w:ascii="Arial" w:hAnsi="Arial" w:cs="Arial"/>
          <w:bCs/>
          <w:sz w:val="24"/>
          <w:szCs w:val="24"/>
        </w:rPr>
      </w:pPr>
      <w:r w:rsidRPr="008028D8">
        <w:rPr>
          <w:rFonts w:ascii="Arial" w:hAnsi="Arial" w:cs="Arial"/>
          <w:bCs/>
          <w:sz w:val="24"/>
          <w:szCs w:val="24"/>
        </w:rPr>
        <w:t>Gender Pay Gap in Hourly Pay</w:t>
      </w:r>
    </w:p>
    <w:tbl>
      <w:tblPr>
        <w:tblStyle w:val="TableGrid"/>
        <w:tblpPr w:leftFromText="180" w:rightFromText="180" w:vertAnchor="text" w:horzAnchor="margin" w:tblpY="105"/>
        <w:tblW w:w="0" w:type="auto"/>
        <w:tblLook w:val="04A0" w:firstRow="1" w:lastRow="0" w:firstColumn="1" w:lastColumn="0" w:noHBand="0" w:noVBand="1"/>
      </w:tblPr>
      <w:tblGrid>
        <w:gridCol w:w="4508"/>
        <w:gridCol w:w="4508"/>
      </w:tblGrid>
      <w:tr w:rsidR="008167B2" w:rsidRPr="008443AE" w14:paraId="0436D01A" w14:textId="77777777" w:rsidTr="008167B2">
        <w:tc>
          <w:tcPr>
            <w:tcW w:w="4508" w:type="dxa"/>
            <w:shd w:val="clear" w:color="auto" w:fill="B8CCE4" w:themeFill="accent1" w:themeFillTint="66"/>
          </w:tcPr>
          <w:p w14:paraId="01098080" w14:textId="77777777" w:rsidR="008167B2" w:rsidRPr="008028D8" w:rsidRDefault="008167B2" w:rsidP="008167B2">
            <w:pPr>
              <w:spacing w:before="120" w:after="120"/>
              <w:rPr>
                <w:rFonts w:ascii="Arial" w:hAnsi="Arial" w:cs="Arial"/>
                <w:bCs/>
                <w:sz w:val="24"/>
                <w:szCs w:val="24"/>
              </w:rPr>
            </w:pPr>
            <w:r w:rsidRPr="008028D8">
              <w:rPr>
                <w:rFonts w:ascii="Arial" w:hAnsi="Arial" w:cs="Arial"/>
                <w:bCs/>
                <w:sz w:val="24"/>
                <w:szCs w:val="24"/>
              </w:rPr>
              <w:t>Mean Gender Pay Gap</w:t>
            </w:r>
          </w:p>
        </w:tc>
        <w:tc>
          <w:tcPr>
            <w:tcW w:w="4508" w:type="dxa"/>
          </w:tcPr>
          <w:p w14:paraId="64935BD4" w14:textId="515C3A7E" w:rsidR="008167B2" w:rsidRPr="008028D8" w:rsidRDefault="007909A7" w:rsidP="008167B2">
            <w:pPr>
              <w:spacing w:before="120" w:after="120"/>
              <w:jc w:val="center"/>
              <w:rPr>
                <w:rFonts w:ascii="Arial" w:hAnsi="Arial" w:cs="Arial"/>
                <w:b/>
                <w:bCs/>
                <w:sz w:val="24"/>
                <w:szCs w:val="24"/>
              </w:rPr>
            </w:pPr>
            <w:r>
              <w:rPr>
                <w:rFonts w:ascii="Arial" w:hAnsi="Arial" w:cs="Arial"/>
                <w:b/>
                <w:bCs/>
                <w:sz w:val="24"/>
                <w:szCs w:val="24"/>
              </w:rPr>
              <w:t>32.5</w:t>
            </w:r>
            <w:r w:rsidR="008167B2" w:rsidRPr="008028D8">
              <w:rPr>
                <w:rFonts w:ascii="Arial" w:hAnsi="Arial" w:cs="Arial"/>
                <w:b/>
                <w:bCs/>
                <w:sz w:val="24"/>
                <w:szCs w:val="24"/>
              </w:rPr>
              <w:t>%</w:t>
            </w:r>
          </w:p>
        </w:tc>
      </w:tr>
      <w:tr w:rsidR="008167B2" w:rsidRPr="008443AE" w14:paraId="7DE32ECF" w14:textId="77777777" w:rsidTr="008167B2">
        <w:tc>
          <w:tcPr>
            <w:tcW w:w="4508" w:type="dxa"/>
            <w:shd w:val="clear" w:color="auto" w:fill="B8CCE4" w:themeFill="accent1" w:themeFillTint="66"/>
          </w:tcPr>
          <w:p w14:paraId="45DA2C98" w14:textId="77777777" w:rsidR="008167B2" w:rsidRPr="008028D8" w:rsidRDefault="008167B2" w:rsidP="008167B2">
            <w:pPr>
              <w:spacing w:before="120" w:after="120"/>
              <w:rPr>
                <w:rFonts w:ascii="Arial" w:hAnsi="Arial" w:cs="Arial"/>
                <w:bCs/>
                <w:sz w:val="24"/>
                <w:szCs w:val="24"/>
              </w:rPr>
            </w:pPr>
            <w:r w:rsidRPr="008028D8">
              <w:rPr>
                <w:rFonts w:ascii="Arial" w:hAnsi="Arial" w:cs="Arial"/>
                <w:bCs/>
                <w:sz w:val="24"/>
                <w:szCs w:val="24"/>
              </w:rPr>
              <w:t>Median Gender Pay Gap</w:t>
            </w:r>
          </w:p>
        </w:tc>
        <w:tc>
          <w:tcPr>
            <w:tcW w:w="4508" w:type="dxa"/>
          </w:tcPr>
          <w:p w14:paraId="5DED9111" w14:textId="09326EF6" w:rsidR="008167B2" w:rsidRPr="008028D8" w:rsidRDefault="007909A7" w:rsidP="008167B2">
            <w:pPr>
              <w:spacing w:before="120" w:after="120"/>
              <w:jc w:val="center"/>
              <w:rPr>
                <w:rFonts w:ascii="Arial" w:hAnsi="Arial" w:cs="Arial"/>
                <w:b/>
                <w:bCs/>
                <w:sz w:val="24"/>
                <w:szCs w:val="24"/>
              </w:rPr>
            </w:pPr>
            <w:r>
              <w:rPr>
                <w:rFonts w:ascii="Arial" w:hAnsi="Arial" w:cs="Arial"/>
                <w:b/>
                <w:bCs/>
                <w:sz w:val="24"/>
                <w:szCs w:val="24"/>
              </w:rPr>
              <w:t>23.7</w:t>
            </w:r>
            <w:r w:rsidR="008167B2" w:rsidRPr="008028D8">
              <w:rPr>
                <w:rFonts w:ascii="Arial" w:hAnsi="Arial" w:cs="Arial"/>
                <w:b/>
                <w:bCs/>
                <w:sz w:val="24"/>
                <w:szCs w:val="24"/>
              </w:rPr>
              <w:t>%</w:t>
            </w:r>
          </w:p>
        </w:tc>
      </w:tr>
    </w:tbl>
    <w:p w14:paraId="6D38FA13" w14:textId="3DDE9F14" w:rsidR="008167B2" w:rsidRDefault="008167B2" w:rsidP="00E700ED">
      <w:pPr>
        <w:rPr>
          <w:rFonts w:ascii="Arial" w:hAnsi="Arial" w:cs="Arial"/>
          <w:bCs/>
          <w:sz w:val="24"/>
          <w:szCs w:val="24"/>
        </w:rPr>
      </w:pPr>
    </w:p>
    <w:p w14:paraId="2086016C" w14:textId="65347A3B" w:rsidR="008167B2" w:rsidRPr="008028D8" w:rsidRDefault="008167B2" w:rsidP="00E700ED">
      <w:pPr>
        <w:rPr>
          <w:rFonts w:ascii="Arial" w:hAnsi="Arial" w:cs="Arial"/>
          <w:bCs/>
          <w:sz w:val="24"/>
          <w:szCs w:val="24"/>
        </w:rPr>
      </w:pPr>
      <w:r w:rsidRPr="007909A7">
        <w:rPr>
          <w:rFonts w:ascii="Arial" w:hAnsi="Arial" w:cs="Arial"/>
          <w:sz w:val="24"/>
          <w:szCs w:val="24"/>
        </w:rPr>
        <w:lastRenderedPageBreak/>
        <w:t xml:space="preserve">The mean gender pay gap for the whole of the </w:t>
      </w:r>
      <w:r w:rsidR="00887D4C" w:rsidRPr="007909A7">
        <w:rPr>
          <w:rFonts w:ascii="Arial" w:hAnsi="Arial" w:cs="Arial"/>
          <w:sz w:val="24"/>
          <w:szCs w:val="24"/>
        </w:rPr>
        <w:t>UK</w:t>
      </w:r>
      <w:r w:rsidRPr="007909A7">
        <w:rPr>
          <w:rFonts w:ascii="Arial" w:hAnsi="Arial" w:cs="Arial"/>
          <w:sz w:val="24"/>
          <w:szCs w:val="24"/>
        </w:rPr>
        <w:t xml:space="preserve"> according to the Office for National Statistics (ONS) </w:t>
      </w:r>
      <w:r w:rsidR="005328B2" w:rsidRPr="007909A7">
        <w:rPr>
          <w:rFonts w:ascii="Arial" w:hAnsi="Arial" w:cs="Arial"/>
          <w:sz w:val="24"/>
          <w:szCs w:val="24"/>
        </w:rPr>
        <w:t>in April 202</w:t>
      </w:r>
      <w:r w:rsidR="00FA6DBD">
        <w:rPr>
          <w:rFonts w:ascii="Arial" w:hAnsi="Arial" w:cs="Arial"/>
          <w:sz w:val="24"/>
          <w:szCs w:val="24"/>
        </w:rPr>
        <w:t>4</w:t>
      </w:r>
      <w:r w:rsidRPr="007909A7">
        <w:rPr>
          <w:rFonts w:ascii="Arial" w:hAnsi="Arial" w:cs="Arial"/>
          <w:sz w:val="24"/>
          <w:szCs w:val="24"/>
        </w:rPr>
        <w:t xml:space="preserve"> </w:t>
      </w:r>
      <w:r w:rsidR="005328B2" w:rsidRPr="007909A7">
        <w:rPr>
          <w:rFonts w:ascii="Arial" w:hAnsi="Arial" w:cs="Arial"/>
          <w:sz w:val="24"/>
          <w:szCs w:val="24"/>
        </w:rPr>
        <w:t>was</w:t>
      </w:r>
      <w:r w:rsidRPr="007909A7">
        <w:rPr>
          <w:rFonts w:ascii="Arial" w:hAnsi="Arial" w:cs="Arial"/>
          <w:sz w:val="24"/>
          <w:szCs w:val="24"/>
        </w:rPr>
        <w:t xml:space="preserve"> </w:t>
      </w:r>
      <w:r w:rsidR="00887D4C" w:rsidRPr="007909A7">
        <w:rPr>
          <w:rFonts w:ascii="Arial" w:hAnsi="Arial" w:cs="Arial"/>
          <w:sz w:val="24"/>
          <w:szCs w:val="24"/>
        </w:rPr>
        <w:t>7</w:t>
      </w:r>
      <w:r w:rsidRPr="007909A7">
        <w:rPr>
          <w:rFonts w:ascii="Arial" w:hAnsi="Arial" w:cs="Arial"/>
          <w:sz w:val="24"/>
          <w:szCs w:val="24"/>
        </w:rPr>
        <w:t>%.</w:t>
      </w:r>
      <w:r w:rsidR="00887D4C" w:rsidRPr="007909A7">
        <w:rPr>
          <w:rFonts w:ascii="Arial" w:hAnsi="Arial" w:cs="Arial"/>
          <w:sz w:val="24"/>
          <w:szCs w:val="24"/>
        </w:rPr>
        <w:t xml:space="preserve">  Within the Department of Health and Social Care the mean gender pay gap was </w:t>
      </w:r>
      <w:r w:rsidR="00FA6DBD">
        <w:rPr>
          <w:rFonts w:ascii="Arial" w:hAnsi="Arial" w:cs="Arial"/>
          <w:sz w:val="24"/>
          <w:szCs w:val="24"/>
        </w:rPr>
        <w:t>7.8</w:t>
      </w:r>
      <w:r w:rsidR="00887D4C" w:rsidRPr="007909A7">
        <w:rPr>
          <w:rFonts w:ascii="Arial" w:hAnsi="Arial" w:cs="Arial"/>
          <w:sz w:val="24"/>
          <w:szCs w:val="24"/>
        </w:rPr>
        <w:t>%.</w:t>
      </w:r>
    </w:p>
    <w:p w14:paraId="60486C0D" w14:textId="65007D19" w:rsidR="004E48FB" w:rsidRPr="00887D4C" w:rsidRDefault="004E48FB" w:rsidP="004E48FB">
      <w:pPr>
        <w:pStyle w:val="Heading1"/>
        <w:spacing w:before="120" w:after="120"/>
        <w:rPr>
          <w:rFonts w:ascii="Arial" w:eastAsiaTheme="minorHAnsi" w:hAnsi="Arial" w:cs="Arial"/>
          <w:b w:val="0"/>
          <w:bCs w:val="0"/>
          <w:color w:val="auto"/>
          <w:sz w:val="24"/>
          <w:szCs w:val="24"/>
        </w:rPr>
      </w:pPr>
      <w:r w:rsidRPr="00887D4C">
        <w:rPr>
          <w:rFonts w:ascii="Arial" w:eastAsiaTheme="minorHAnsi" w:hAnsi="Arial" w:cs="Arial"/>
          <w:b w:val="0"/>
          <w:bCs w:val="0"/>
          <w:color w:val="auto"/>
          <w:sz w:val="24"/>
          <w:szCs w:val="24"/>
        </w:rPr>
        <w:t xml:space="preserve">At </w:t>
      </w:r>
      <w:r w:rsidR="007909A7">
        <w:rPr>
          <w:rFonts w:ascii="Arial" w:eastAsiaTheme="minorHAnsi" w:hAnsi="Arial" w:cs="Arial"/>
          <w:b w:val="0"/>
          <w:bCs w:val="0"/>
          <w:color w:val="auto"/>
          <w:sz w:val="24"/>
          <w:szCs w:val="24"/>
        </w:rPr>
        <w:t>32.5</w:t>
      </w:r>
      <w:r w:rsidRPr="00887D4C">
        <w:rPr>
          <w:rFonts w:ascii="Arial" w:eastAsiaTheme="minorHAnsi" w:hAnsi="Arial" w:cs="Arial"/>
          <w:b w:val="0"/>
          <w:bCs w:val="0"/>
          <w:color w:val="auto"/>
          <w:sz w:val="24"/>
          <w:szCs w:val="24"/>
        </w:rPr>
        <w:t xml:space="preserve">% the </w:t>
      </w:r>
      <w:r w:rsidR="005328B2">
        <w:rPr>
          <w:rFonts w:ascii="Arial" w:eastAsiaTheme="minorHAnsi" w:hAnsi="Arial" w:cs="Arial"/>
          <w:b w:val="0"/>
          <w:bCs w:val="0"/>
          <w:color w:val="auto"/>
          <w:sz w:val="24"/>
          <w:szCs w:val="24"/>
        </w:rPr>
        <w:t>ICBs</w:t>
      </w:r>
      <w:r w:rsidRPr="00887D4C">
        <w:rPr>
          <w:rFonts w:ascii="Arial" w:eastAsiaTheme="minorHAnsi" w:hAnsi="Arial" w:cs="Arial"/>
          <w:b w:val="0"/>
          <w:bCs w:val="0"/>
          <w:color w:val="auto"/>
          <w:sz w:val="24"/>
          <w:szCs w:val="24"/>
        </w:rPr>
        <w:t xml:space="preserve"> mean gender pay gap is therefore significantly above that of the wider </w:t>
      </w:r>
      <w:r w:rsidR="00887D4C">
        <w:rPr>
          <w:rFonts w:ascii="Arial" w:eastAsiaTheme="minorHAnsi" w:hAnsi="Arial" w:cs="Arial"/>
          <w:b w:val="0"/>
          <w:bCs w:val="0"/>
          <w:color w:val="auto"/>
          <w:sz w:val="24"/>
          <w:szCs w:val="24"/>
        </w:rPr>
        <w:t>UK public and private sector</w:t>
      </w:r>
      <w:r w:rsidRPr="00887D4C">
        <w:rPr>
          <w:rFonts w:ascii="Arial" w:eastAsiaTheme="minorHAnsi" w:hAnsi="Arial" w:cs="Arial"/>
          <w:b w:val="0"/>
          <w:bCs w:val="0"/>
          <w:color w:val="auto"/>
          <w:sz w:val="24"/>
          <w:szCs w:val="24"/>
        </w:rPr>
        <w:t>.  This is reflective of the pattern from the wider UK healthcare economy; traditionally the NHS has a higher female workforce which tend to be in the lower bandings and a predominantly male workforce in the higher pay bands such as executives, directors and clinical leads.</w:t>
      </w:r>
    </w:p>
    <w:p w14:paraId="55662868" w14:textId="66926E6F" w:rsidR="00752947" w:rsidRPr="00887D4C" w:rsidRDefault="004E48FB" w:rsidP="00E700ED">
      <w:pPr>
        <w:rPr>
          <w:rFonts w:ascii="Arial" w:hAnsi="Arial" w:cs="Arial"/>
          <w:bCs/>
          <w:sz w:val="24"/>
          <w:szCs w:val="24"/>
        </w:rPr>
      </w:pPr>
      <w:r w:rsidRPr="00FA6DBD">
        <w:rPr>
          <w:rFonts w:ascii="Arial" w:hAnsi="Arial" w:cs="Arial"/>
          <w:bCs/>
          <w:sz w:val="24"/>
          <w:szCs w:val="24"/>
        </w:rPr>
        <w:t xml:space="preserve">The median gender pay gap for </w:t>
      </w:r>
      <w:r w:rsidR="00887D4C" w:rsidRPr="00FA6DBD">
        <w:rPr>
          <w:rFonts w:ascii="Arial" w:hAnsi="Arial" w:cs="Arial"/>
          <w:bCs/>
          <w:sz w:val="24"/>
          <w:szCs w:val="24"/>
        </w:rPr>
        <w:t xml:space="preserve">Health and Social Care was </w:t>
      </w:r>
      <w:r w:rsidR="005328B2" w:rsidRPr="00FA6DBD">
        <w:rPr>
          <w:rFonts w:ascii="Arial" w:hAnsi="Arial" w:cs="Arial"/>
          <w:bCs/>
          <w:sz w:val="24"/>
          <w:szCs w:val="24"/>
        </w:rPr>
        <w:t>13.</w:t>
      </w:r>
      <w:r w:rsidR="00FA6DBD" w:rsidRPr="00FA6DBD">
        <w:rPr>
          <w:rFonts w:ascii="Arial" w:hAnsi="Arial" w:cs="Arial"/>
          <w:bCs/>
          <w:sz w:val="24"/>
          <w:szCs w:val="24"/>
        </w:rPr>
        <w:t>9</w:t>
      </w:r>
      <w:r w:rsidR="00887D4C" w:rsidRPr="00FA6DBD">
        <w:rPr>
          <w:rFonts w:ascii="Arial" w:hAnsi="Arial" w:cs="Arial"/>
          <w:bCs/>
          <w:sz w:val="24"/>
          <w:szCs w:val="24"/>
        </w:rPr>
        <w:t>%</w:t>
      </w:r>
      <w:r w:rsidRPr="00FA6DBD">
        <w:rPr>
          <w:rFonts w:ascii="Arial" w:hAnsi="Arial" w:cs="Arial"/>
          <w:bCs/>
          <w:sz w:val="24"/>
          <w:szCs w:val="24"/>
        </w:rPr>
        <w:t>.</w:t>
      </w:r>
      <w:r w:rsidRPr="00887D4C">
        <w:rPr>
          <w:rFonts w:ascii="Arial" w:hAnsi="Arial" w:cs="Arial"/>
          <w:bCs/>
          <w:sz w:val="24"/>
          <w:szCs w:val="24"/>
        </w:rPr>
        <w:t xml:space="preserve">  At </w:t>
      </w:r>
      <w:r w:rsidR="007909A7">
        <w:rPr>
          <w:rFonts w:ascii="Arial" w:hAnsi="Arial" w:cs="Arial"/>
          <w:bCs/>
          <w:sz w:val="24"/>
          <w:szCs w:val="24"/>
        </w:rPr>
        <w:t>23.7</w:t>
      </w:r>
      <w:r w:rsidRPr="00887D4C">
        <w:rPr>
          <w:rFonts w:ascii="Arial" w:hAnsi="Arial" w:cs="Arial"/>
          <w:bCs/>
          <w:sz w:val="24"/>
          <w:szCs w:val="24"/>
        </w:rPr>
        <w:t xml:space="preserve">% the </w:t>
      </w:r>
      <w:r w:rsidR="005328B2">
        <w:rPr>
          <w:rFonts w:ascii="Arial" w:hAnsi="Arial" w:cs="Arial"/>
          <w:bCs/>
          <w:sz w:val="24"/>
          <w:szCs w:val="24"/>
        </w:rPr>
        <w:t>ICB</w:t>
      </w:r>
      <w:r w:rsidRPr="00887D4C">
        <w:rPr>
          <w:rFonts w:ascii="Arial" w:hAnsi="Arial" w:cs="Arial"/>
          <w:bCs/>
          <w:sz w:val="24"/>
          <w:szCs w:val="24"/>
        </w:rPr>
        <w:t xml:space="preserve">s median gender pay gap is above </w:t>
      </w:r>
      <w:r w:rsidR="00887D4C" w:rsidRPr="00887D4C">
        <w:rPr>
          <w:rFonts w:ascii="Arial" w:hAnsi="Arial" w:cs="Arial"/>
          <w:bCs/>
          <w:sz w:val="24"/>
          <w:szCs w:val="24"/>
        </w:rPr>
        <w:t>this</w:t>
      </w:r>
      <w:r w:rsidRPr="00887D4C">
        <w:rPr>
          <w:rFonts w:ascii="Arial" w:hAnsi="Arial" w:cs="Arial"/>
          <w:bCs/>
          <w:sz w:val="24"/>
          <w:szCs w:val="24"/>
        </w:rPr>
        <w:t>.</w:t>
      </w:r>
    </w:p>
    <w:p w14:paraId="4B28F705" w14:textId="77777777" w:rsidR="00752947" w:rsidRPr="008028D8" w:rsidRDefault="00752947" w:rsidP="00E700ED">
      <w:pPr>
        <w:rPr>
          <w:rFonts w:ascii="Arial" w:hAnsi="Arial" w:cs="Arial"/>
          <w:bCs/>
          <w:sz w:val="24"/>
          <w:szCs w:val="24"/>
        </w:rPr>
      </w:pPr>
      <w:r w:rsidRPr="008028D8">
        <w:rPr>
          <w:rFonts w:ascii="Arial" w:hAnsi="Arial" w:cs="Arial"/>
          <w:bCs/>
          <w:sz w:val="24"/>
          <w:szCs w:val="24"/>
        </w:rPr>
        <w:t>Pay Quartiles (hourly rate)</w:t>
      </w:r>
    </w:p>
    <w:tbl>
      <w:tblPr>
        <w:tblStyle w:val="TableGrid"/>
        <w:tblW w:w="0" w:type="auto"/>
        <w:tblLook w:val="04A0" w:firstRow="1" w:lastRow="0" w:firstColumn="1" w:lastColumn="0" w:noHBand="0" w:noVBand="1"/>
      </w:tblPr>
      <w:tblGrid>
        <w:gridCol w:w="2879"/>
        <w:gridCol w:w="1540"/>
        <w:gridCol w:w="1528"/>
        <w:gridCol w:w="1539"/>
        <w:gridCol w:w="1530"/>
      </w:tblGrid>
      <w:tr w:rsidR="00B7367B" w:rsidRPr="008028D8" w14:paraId="6EC3956D" w14:textId="77777777" w:rsidTr="00872645">
        <w:tc>
          <w:tcPr>
            <w:tcW w:w="2879" w:type="dxa"/>
            <w:vMerge w:val="restart"/>
            <w:shd w:val="clear" w:color="auto" w:fill="B8CCE4" w:themeFill="accent1" w:themeFillTint="66"/>
          </w:tcPr>
          <w:p w14:paraId="7D996177" w14:textId="77777777" w:rsidR="00B7367B" w:rsidRPr="008028D8" w:rsidRDefault="00B7367B" w:rsidP="00BF49AE">
            <w:pPr>
              <w:spacing w:before="120" w:after="120"/>
              <w:rPr>
                <w:rFonts w:ascii="Arial" w:hAnsi="Arial" w:cs="Arial"/>
                <w:b/>
                <w:bCs/>
                <w:sz w:val="24"/>
                <w:szCs w:val="24"/>
              </w:rPr>
            </w:pPr>
            <w:r w:rsidRPr="008028D8">
              <w:rPr>
                <w:rFonts w:ascii="Arial" w:hAnsi="Arial" w:cs="Arial"/>
                <w:b/>
                <w:bCs/>
                <w:sz w:val="24"/>
                <w:szCs w:val="24"/>
              </w:rPr>
              <w:t>Pay Quartiles</w:t>
            </w:r>
          </w:p>
        </w:tc>
        <w:tc>
          <w:tcPr>
            <w:tcW w:w="3068" w:type="dxa"/>
            <w:gridSpan w:val="2"/>
          </w:tcPr>
          <w:p w14:paraId="003D0C98" w14:textId="77777777" w:rsidR="00B7367B" w:rsidRPr="008028D8" w:rsidRDefault="00B7367B" w:rsidP="006B7CAD">
            <w:pPr>
              <w:spacing w:before="120" w:after="120"/>
              <w:jc w:val="center"/>
              <w:rPr>
                <w:rFonts w:ascii="Arial" w:hAnsi="Arial" w:cs="Arial"/>
                <w:b/>
                <w:bCs/>
                <w:sz w:val="24"/>
                <w:szCs w:val="24"/>
              </w:rPr>
            </w:pPr>
            <w:r w:rsidRPr="008028D8">
              <w:rPr>
                <w:rFonts w:ascii="Arial" w:hAnsi="Arial" w:cs="Arial"/>
                <w:b/>
                <w:bCs/>
                <w:sz w:val="24"/>
                <w:szCs w:val="24"/>
              </w:rPr>
              <w:t>Number of Staff</w:t>
            </w:r>
          </w:p>
        </w:tc>
        <w:tc>
          <w:tcPr>
            <w:tcW w:w="3069" w:type="dxa"/>
            <w:gridSpan w:val="2"/>
          </w:tcPr>
          <w:p w14:paraId="4118C829" w14:textId="77777777" w:rsidR="00B7367B" w:rsidRPr="008028D8" w:rsidRDefault="00B7367B" w:rsidP="006B7CAD">
            <w:pPr>
              <w:spacing w:before="120" w:after="120"/>
              <w:jc w:val="center"/>
              <w:rPr>
                <w:rFonts w:ascii="Arial" w:hAnsi="Arial" w:cs="Arial"/>
                <w:b/>
                <w:bCs/>
                <w:sz w:val="24"/>
                <w:szCs w:val="24"/>
              </w:rPr>
            </w:pPr>
            <w:r w:rsidRPr="008028D8">
              <w:rPr>
                <w:rFonts w:ascii="Arial" w:hAnsi="Arial" w:cs="Arial"/>
                <w:b/>
                <w:bCs/>
                <w:sz w:val="24"/>
                <w:szCs w:val="24"/>
              </w:rPr>
              <w:t>%</w:t>
            </w:r>
          </w:p>
        </w:tc>
      </w:tr>
      <w:tr w:rsidR="00B7367B" w:rsidRPr="008028D8" w14:paraId="27ACB255" w14:textId="77777777" w:rsidTr="00872645">
        <w:tc>
          <w:tcPr>
            <w:tcW w:w="2879" w:type="dxa"/>
            <w:vMerge/>
            <w:shd w:val="clear" w:color="auto" w:fill="B8CCE4" w:themeFill="accent1" w:themeFillTint="66"/>
          </w:tcPr>
          <w:p w14:paraId="6048583A" w14:textId="77777777" w:rsidR="00B7367B" w:rsidRPr="008028D8" w:rsidRDefault="00B7367B" w:rsidP="00BF49AE">
            <w:pPr>
              <w:spacing w:before="120" w:after="120"/>
              <w:rPr>
                <w:rFonts w:ascii="Arial" w:hAnsi="Arial" w:cs="Arial"/>
                <w:b/>
                <w:bCs/>
                <w:sz w:val="24"/>
                <w:szCs w:val="24"/>
              </w:rPr>
            </w:pPr>
          </w:p>
        </w:tc>
        <w:tc>
          <w:tcPr>
            <w:tcW w:w="1540" w:type="dxa"/>
          </w:tcPr>
          <w:p w14:paraId="526D9CFC" w14:textId="77777777" w:rsidR="00B7367B" w:rsidRPr="008028D8" w:rsidRDefault="00B7367B" w:rsidP="006B7CAD">
            <w:pPr>
              <w:spacing w:before="120" w:after="120"/>
              <w:jc w:val="center"/>
              <w:rPr>
                <w:rFonts w:ascii="Arial" w:hAnsi="Arial" w:cs="Arial"/>
                <w:b/>
                <w:bCs/>
                <w:sz w:val="24"/>
                <w:szCs w:val="24"/>
              </w:rPr>
            </w:pPr>
            <w:r w:rsidRPr="008028D8">
              <w:rPr>
                <w:rFonts w:ascii="Arial" w:hAnsi="Arial" w:cs="Arial"/>
                <w:b/>
                <w:bCs/>
                <w:sz w:val="24"/>
                <w:szCs w:val="24"/>
              </w:rPr>
              <w:t>Female</w:t>
            </w:r>
          </w:p>
        </w:tc>
        <w:tc>
          <w:tcPr>
            <w:tcW w:w="1528" w:type="dxa"/>
          </w:tcPr>
          <w:p w14:paraId="522C494F" w14:textId="77777777" w:rsidR="00B7367B" w:rsidRPr="008028D8" w:rsidRDefault="00B7367B" w:rsidP="006B7CAD">
            <w:pPr>
              <w:spacing w:before="120" w:after="120"/>
              <w:jc w:val="center"/>
              <w:rPr>
                <w:rFonts w:ascii="Arial" w:hAnsi="Arial" w:cs="Arial"/>
                <w:b/>
                <w:bCs/>
                <w:sz w:val="24"/>
                <w:szCs w:val="24"/>
              </w:rPr>
            </w:pPr>
            <w:r w:rsidRPr="008028D8">
              <w:rPr>
                <w:rFonts w:ascii="Arial" w:hAnsi="Arial" w:cs="Arial"/>
                <w:b/>
                <w:bCs/>
                <w:sz w:val="24"/>
                <w:szCs w:val="24"/>
              </w:rPr>
              <w:t>Male</w:t>
            </w:r>
          </w:p>
        </w:tc>
        <w:tc>
          <w:tcPr>
            <w:tcW w:w="1539" w:type="dxa"/>
          </w:tcPr>
          <w:p w14:paraId="08054CC5" w14:textId="77777777" w:rsidR="00B7367B" w:rsidRPr="008028D8" w:rsidRDefault="00B7367B" w:rsidP="007105E0">
            <w:pPr>
              <w:spacing w:before="120" w:after="120"/>
              <w:jc w:val="center"/>
              <w:rPr>
                <w:rFonts w:ascii="Arial" w:hAnsi="Arial" w:cs="Arial"/>
                <w:b/>
                <w:bCs/>
                <w:sz w:val="24"/>
                <w:szCs w:val="24"/>
              </w:rPr>
            </w:pPr>
            <w:r w:rsidRPr="008028D8">
              <w:rPr>
                <w:rFonts w:ascii="Arial" w:hAnsi="Arial" w:cs="Arial"/>
                <w:b/>
                <w:bCs/>
                <w:sz w:val="24"/>
                <w:szCs w:val="24"/>
              </w:rPr>
              <w:t>Female</w:t>
            </w:r>
          </w:p>
        </w:tc>
        <w:tc>
          <w:tcPr>
            <w:tcW w:w="1530" w:type="dxa"/>
          </w:tcPr>
          <w:p w14:paraId="4E5ED8B7" w14:textId="77777777" w:rsidR="00B7367B" w:rsidRPr="008028D8" w:rsidRDefault="00B7367B" w:rsidP="00E402AC">
            <w:pPr>
              <w:spacing w:before="120" w:after="120"/>
              <w:jc w:val="center"/>
              <w:rPr>
                <w:rFonts w:ascii="Arial" w:hAnsi="Arial" w:cs="Arial"/>
                <w:b/>
                <w:bCs/>
                <w:sz w:val="24"/>
                <w:szCs w:val="24"/>
              </w:rPr>
            </w:pPr>
            <w:r w:rsidRPr="008028D8">
              <w:rPr>
                <w:rFonts w:ascii="Arial" w:hAnsi="Arial" w:cs="Arial"/>
                <w:b/>
                <w:bCs/>
                <w:sz w:val="24"/>
                <w:szCs w:val="24"/>
              </w:rPr>
              <w:t>Male</w:t>
            </w:r>
          </w:p>
        </w:tc>
      </w:tr>
      <w:tr w:rsidR="007909A7" w:rsidRPr="008028D8" w14:paraId="31F6258B" w14:textId="77777777" w:rsidTr="00872645">
        <w:tc>
          <w:tcPr>
            <w:tcW w:w="2879" w:type="dxa"/>
            <w:shd w:val="clear" w:color="auto" w:fill="B8CCE4" w:themeFill="accent1" w:themeFillTint="66"/>
          </w:tcPr>
          <w:p w14:paraId="27423628" w14:textId="77777777" w:rsidR="007909A7" w:rsidRPr="008028D8" w:rsidRDefault="007909A7" w:rsidP="007909A7">
            <w:pPr>
              <w:spacing w:before="120" w:after="120"/>
              <w:rPr>
                <w:rFonts w:ascii="Arial" w:hAnsi="Arial" w:cs="Arial"/>
                <w:bCs/>
                <w:sz w:val="24"/>
                <w:szCs w:val="24"/>
              </w:rPr>
            </w:pPr>
            <w:r w:rsidRPr="008028D8">
              <w:rPr>
                <w:rFonts w:ascii="Arial" w:hAnsi="Arial" w:cs="Arial"/>
                <w:bCs/>
                <w:sz w:val="24"/>
                <w:szCs w:val="24"/>
              </w:rPr>
              <w:t>1. Lowest</w:t>
            </w:r>
          </w:p>
        </w:tc>
        <w:tc>
          <w:tcPr>
            <w:tcW w:w="1540" w:type="dxa"/>
          </w:tcPr>
          <w:p w14:paraId="322456C0" w14:textId="7393401B" w:rsidR="007909A7" w:rsidRPr="007909A7" w:rsidRDefault="007909A7" w:rsidP="007909A7">
            <w:pPr>
              <w:spacing w:before="120"/>
              <w:jc w:val="center"/>
              <w:rPr>
                <w:rFonts w:ascii="Arial" w:hAnsi="Arial" w:cs="Arial"/>
                <w:color w:val="000000"/>
              </w:rPr>
            </w:pPr>
            <w:r w:rsidRPr="007909A7">
              <w:rPr>
                <w:rFonts w:ascii="Arial" w:hAnsi="Arial" w:cs="Arial"/>
                <w:color w:val="000000"/>
              </w:rPr>
              <w:t>120.00</w:t>
            </w:r>
          </w:p>
        </w:tc>
        <w:tc>
          <w:tcPr>
            <w:tcW w:w="1528" w:type="dxa"/>
          </w:tcPr>
          <w:p w14:paraId="3720E2C3" w14:textId="2D795A1D" w:rsidR="007909A7" w:rsidRPr="007909A7" w:rsidRDefault="007909A7" w:rsidP="007909A7">
            <w:pPr>
              <w:spacing w:before="120"/>
              <w:jc w:val="center"/>
              <w:rPr>
                <w:rFonts w:ascii="Arial" w:hAnsi="Arial" w:cs="Arial"/>
                <w:color w:val="000000"/>
              </w:rPr>
            </w:pPr>
            <w:r w:rsidRPr="007909A7">
              <w:rPr>
                <w:rFonts w:ascii="Arial" w:hAnsi="Arial" w:cs="Arial"/>
                <w:color w:val="000000"/>
              </w:rPr>
              <w:t>8.00</w:t>
            </w:r>
          </w:p>
        </w:tc>
        <w:tc>
          <w:tcPr>
            <w:tcW w:w="1539" w:type="dxa"/>
          </w:tcPr>
          <w:p w14:paraId="03A8129C" w14:textId="1EA4996E" w:rsidR="007909A7" w:rsidRPr="007909A7" w:rsidRDefault="007909A7" w:rsidP="007909A7">
            <w:pPr>
              <w:spacing w:before="120"/>
              <w:jc w:val="center"/>
              <w:rPr>
                <w:rFonts w:ascii="Arial" w:hAnsi="Arial" w:cs="Arial"/>
                <w:color w:val="000000"/>
              </w:rPr>
            </w:pPr>
            <w:r w:rsidRPr="007909A7">
              <w:rPr>
                <w:rFonts w:ascii="Arial" w:hAnsi="Arial" w:cs="Arial"/>
                <w:color w:val="000000"/>
              </w:rPr>
              <w:t>93.75</w:t>
            </w:r>
            <w:r>
              <w:rPr>
                <w:rFonts w:ascii="Arial" w:hAnsi="Arial" w:cs="Arial"/>
                <w:color w:val="000000"/>
              </w:rPr>
              <w:t>%</w:t>
            </w:r>
          </w:p>
        </w:tc>
        <w:tc>
          <w:tcPr>
            <w:tcW w:w="1530" w:type="dxa"/>
          </w:tcPr>
          <w:p w14:paraId="61DE8DE3" w14:textId="2B9ED8F8" w:rsidR="007909A7" w:rsidRPr="007909A7" w:rsidRDefault="007909A7" w:rsidP="007909A7">
            <w:pPr>
              <w:spacing w:before="120"/>
              <w:jc w:val="center"/>
              <w:rPr>
                <w:rFonts w:ascii="Arial" w:hAnsi="Arial" w:cs="Arial"/>
                <w:color w:val="000000"/>
              </w:rPr>
            </w:pPr>
            <w:r w:rsidRPr="007909A7">
              <w:rPr>
                <w:rFonts w:ascii="Arial" w:hAnsi="Arial" w:cs="Arial"/>
                <w:color w:val="000000"/>
              </w:rPr>
              <w:t>6.25</w:t>
            </w:r>
            <w:r>
              <w:rPr>
                <w:rFonts w:ascii="Arial" w:hAnsi="Arial" w:cs="Arial"/>
                <w:color w:val="000000"/>
              </w:rPr>
              <w:t>%</w:t>
            </w:r>
          </w:p>
        </w:tc>
      </w:tr>
      <w:tr w:rsidR="007909A7" w:rsidRPr="008028D8" w14:paraId="1E6F186D" w14:textId="77777777" w:rsidTr="00872645">
        <w:tc>
          <w:tcPr>
            <w:tcW w:w="2879" w:type="dxa"/>
            <w:shd w:val="clear" w:color="auto" w:fill="B8CCE4" w:themeFill="accent1" w:themeFillTint="66"/>
          </w:tcPr>
          <w:p w14:paraId="4B0B046F" w14:textId="77777777" w:rsidR="007909A7" w:rsidRPr="008028D8" w:rsidRDefault="007909A7" w:rsidP="007909A7">
            <w:pPr>
              <w:spacing w:before="120" w:after="120"/>
              <w:rPr>
                <w:rFonts w:ascii="Arial" w:hAnsi="Arial" w:cs="Arial"/>
                <w:bCs/>
                <w:sz w:val="24"/>
                <w:szCs w:val="24"/>
              </w:rPr>
            </w:pPr>
            <w:r w:rsidRPr="008028D8">
              <w:rPr>
                <w:rFonts w:ascii="Arial" w:hAnsi="Arial" w:cs="Arial"/>
                <w:bCs/>
                <w:sz w:val="24"/>
                <w:szCs w:val="24"/>
              </w:rPr>
              <w:t>2. Lower Middle</w:t>
            </w:r>
          </w:p>
        </w:tc>
        <w:tc>
          <w:tcPr>
            <w:tcW w:w="1540" w:type="dxa"/>
          </w:tcPr>
          <w:p w14:paraId="00B60659" w14:textId="7016E39A" w:rsidR="007909A7" w:rsidRPr="007909A7" w:rsidRDefault="007909A7" w:rsidP="007909A7">
            <w:pPr>
              <w:spacing w:before="120"/>
              <w:jc w:val="center"/>
              <w:rPr>
                <w:rFonts w:ascii="Arial" w:hAnsi="Arial" w:cs="Arial"/>
                <w:color w:val="000000"/>
              </w:rPr>
            </w:pPr>
            <w:r w:rsidRPr="007909A7">
              <w:rPr>
                <w:rFonts w:ascii="Arial" w:hAnsi="Arial" w:cs="Arial"/>
                <w:color w:val="000000"/>
              </w:rPr>
              <w:t>117.00</w:t>
            </w:r>
          </w:p>
        </w:tc>
        <w:tc>
          <w:tcPr>
            <w:tcW w:w="1528" w:type="dxa"/>
          </w:tcPr>
          <w:p w14:paraId="621E26A6" w14:textId="15CC2D1B" w:rsidR="007909A7" w:rsidRPr="007909A7" w:rsidRDefault="007909A7" w:rsidP="007909A7">
            <w:pPr>
              <w:spacing w:before="120"/>
              <w:jc w:val="center"/>
              <w:rPr>
                <w:rFonts w:ascii="Arial" w:hAnsi="Arial" w:cs="Arial"/>
                <w:color w:val="000000"/>
              </w:rPr>
            </w:pPr>
            <w:r w:rsidRPr="007909A7">
              <w:rPr>
                <w:rFonts w:ascii="Arial" w:hAnsi="Arial" w:cs="Arial"/>
                <w:color w:val="000000"/>
              </w:rPr>
              <w:t>27.00</w:t>
            </w:r>
          </w:p>
        </w:tc>
        <w:tc>
          <w:tcPr>
            <w:tcW w:w="1539" w:type="dxa"/>
          </w:tcPr>
          <w:p w14:paraId="39BD8F7D" w14:textId="07F66AEE" w:rsidR="007909A7" w:rsidRPr="007909A7" w:rsidRDefault="007909A7" w:rsidP="007909A7">
            <w:pPr>
              <w:spacing w:before="120"/>
              <w:jc w:val="center"/>
              <w:rPr>
                <w:rFonts w:ascii="Arial" w:hAnsi="Arial" w:cs="Arial"/>
                <w:color w:val="000000"/>
              </w:rPr>
            </w:pPr>
            <w:r w:rsidRPr="007909A7">
              <w:rPr>
                <w:rFonts w:ascii="Arial" w:hAnsi="Arial" w:cs="Arial"/>
                <w:color w:val="000000"/>
              </w:rPr>
              <w:t>81.25</w:t>
            </w:r>
            <w:r>
              <w:rPr>
                <w:rFonts w:ascii="Arial" w:hAnsi="Arial" w:cs="Arial"/>
                <w:color w:val="000000"/>
              </w:rPr>
              <w:t>%</w:t>
            </w:r>
          </w:p>
        </w:tc>
        <w:tc>
          <w:tcPr>
            <w:tcW w:w="1530" w:type="dxa"/>
          </w:tcPr>
          <w:p w14:paraId="383683E7" w14:textId="1370CEDB" w:rsidR="007909A7" w:rsidRPr="007909A7" w:rsidRDefault="007909A7" w:rsidP="007909A7">
            <w:pPr>
              <w:spacing w:before="120"/>
              <w:jc w:val="center"/>
              <w:rPr>
                <w:rFonts w:ascii="Arial" w:hAnsi="Arial" w:cs="Arial"/>
                <w:color w:val="000000"/>
              </w:rPr>
            </w:pPr>
            <w:r w:rsidRPr="007909A7">
              <w:rPr>
                <w:rFonts w:ascii="Arial" w:hAnsi="Arial" w:cs="Arial"/>
                <w:color w:val="000000"/>
              </w:rPr>
              <w:t>18.75</w:t>
            </w:r>
            <w:r>
              <w:rPr>
                <w:rFonts w:ascii="Arial" w:hAnsi="Arial" w:cs="Arial"/>
                <w:color w:val="000000"/>
              </w:rPr>
              <w:t>%</w:t>
            </w:r>
          </w:p>
        </w:tc>
      </w:tr>
      <w:tr w:rsidR="007909A7" w:rsidRPr="008028D8" w14:paraId="28E7ED1E" w14:textId="77777777" w:rsidTr="00872645">
        <w:tc>
          <w:tcPr>
            <w:tcW w:w="2879" w:type="dxa"/>
            <w:shd w:val="clear" w:color="auto" w:fill="B8CCE4" w:themeFill="accent1" w:themeFillTint="66"/>
          </w:tcPr>
          <w:p w14:paraId="2708C978" w14:textId="77777777" w:rsidR="007909A7" w:rsidRPr="008028D8" w:rsidRDefault="007909A7" w:rsidP="007909A7">
            <w:pPr>
              <w:spacing w:before="120" w:after="120"/>
              <w:rPr>
                <w:rFonts w:ascii="Arial" w:hAnsi="Arial" w:cs="Arial"/>
                <w:bCs/>
                <w:sz w:val="24"/>
                <w:szCs w:val="24"/>
              </w:rPr>
            </w:pPr>
            <w:r w:rsidRPr="008028D8">
              <w:rPr>
                <w:rFonts w:ascii="Arial" w:hAnsi="Arial" w:cs="Arial"/>
                <w:bCs/>
                <w:sz w:val="24"/>
                <w:szCs w:val="24"/>
              </w:rPr>
              <w:t>3. Upper Middle</w:t>
            </w:r>
          </w:p>
        </w:tc>
        <w:tc>
          <w:tcPr>
            <w:tcW w:w="1540" w:type="dxa"/>
          </w:tcPr>
          <w:p w14:paraId="1725B918" w14:textId="4E3E1B36" w:rsidR="007909A7" w:rsidRPr="007909A7" w:rsidRDefault="007909A7" w:rsidP="007909A7">
            <w:pPr>
              <w:spacing w:before="120"/>
              <w:jc w:val="center"/>
              <w:rPr>
                <w:rFonts w:ascii="Arial" w:hAnsi="Arial" w:cs="Arial"/>
                <w:color w:val="000000"/>
              </w:rPr>
            </w:pPr>
            <w:r w:rsidRPr="007909A7">
              <w:rPr>
                <w:rFonts w:ascii="Arial" w:hAnsi="Arial" w:cs="Arial"/>
                <w:color w:val="000000"/>
              </w:rPr>
              <w:t>113.00</w:t>
            </w:r>
          </w:p>
        </w:tc>
        <w:tc>
          <w:tcPr>
            <w:tcW w:w="1528" w:type="dxa"/>
          </w:tcPr>
          <w:p w14:paraId="1D3A7F8C" w14:textId="7A6BC319" w:rsidR="007909A7" w:rsidRPr="007909A7" w:rsidRDefault="007909A7" w:rsidP="007909A7">
            <w:pPr>
              <w:spacing w:before="120"/>
              <w:jc w:val="center"/>
              <w:rPr>
                <w:rFonts w:ascii="Arial" w:hAnsi="Arial" w:cs="Arial"/>
                <w:color w:val="000000"/>
              </w:rPr>
            </w:pPr>
            <w:r w:rsidRPr="007909A7">
              <w:rPr>
                <w:rFonts w:ascii="Arial" w:hAnsi="Arial" w:cs="Arial"/>
                <w:color w:val="000000"/>
              </w:rPr>
              <w:t>23.00</w:t>
            </w:r>
          </w:p>
        </w:tc>
        <w:tc>
          <w:tcPr>
            <w:tcW w:w="1539" w:type="dxa"/>
          </w:tcPr>
          <w:p w14:paraId="683BEFAE" w14:textId="69BC6958" w:rsidR="007909A7" w:rsidRPr="007909A7" w:rsidRDefault="007909A7" w:rsidP="007909A7">
            <w:pPr>
              <w:spacing w:before="120"/>
              <w:jc w:val="center"/>
              <w:rPr>
                <w:rFonts w:ascii="Arial" w:hAnsi="Arial" w:cs="Arial"/>
                <w:color w:val="000000"/>
              </w:rPr>
            </w:pPr>
            <w:r w:rsidRPr="007909A7">
              <w:rPr>
                <w:rFonts w:ascii="Arial" w:hAnsi="Arial" w:cs="Arial"/>
                <w:color w:val="000000"/>
              </w:rPr>
              <w:t>83.09</w:t>
            </w:r>
            <w:r>
              <w:rPr>
                <w:rFonts w:ascii="Arial" w:hAnsi="Arial" w:cs="Arial"/>
                <w:color w:val="000000"/>
              </w:rPr>
              <w:t>%</w:t>
            </w:r>
          </w:p>
        </w:tc>
        <w:tc>
          <w:tcPr>
            <w:tcW w:w="1530" w:type="dxa"/>
          </w:tcPr>
          <w:p w14:paraId="5E66CD89" w14:textId="7C22413D" w:rsidR="007909A7" w:rsidRPr="007909A7" w:rsidRDefault="007909A7" w:rsidP="007909A7">
            <w:pPr>
              <w:spacing w:before="120"/>
              <w:jc w:val="center"/>
              <w:rPr>
                <w:rFonts w:ascii="Arial" w:hAnsi="Arial" w:cs="Arial"/>
                <w:color w:val="000000"/>
              </w:rPr>
            </w:pPr>
            <w:r w:rsidRPr="007909A7">
              <w:rPr>
                <w:rFonts w:ascii="Arial" w:hAnsi="Arial" w:cs="Arial"/>
                <w:color w:val="000000"/>
              </w:rPr>
              <w:t>16.91</w:t>
            </w:r>
            <w:r>
              <w:rPr>
                <w:rFonts w:ascii="Arial" w:hAnsi="Arial" w:cs="Arial"/>
                <w:color w:val="000000"/>
              </w:rPr>
              <w:t>%</w:t>
            </w:r>
          </w:p>
        </w:tc>
      </w:tr>
      <w:tr w:rsidR="007909A7" w:rsidRPr="008028D8" w14:paraId="302D4773" w14:textId="77777777" w:rsidTr="00872645">
        <w:tc>
          <w:tcPr>
            <w:tcW w:w="2879" w:type="dxa"/>
            <w:shd w:val="clear" w:color="auto" w:fill="B8CCE4" w:themeFill="accent1" w:themeFillTint="66"/>
          </w:tcPr>
          <w:p w14:paraId="64806466" w14:textId="77777777" w:rsidR="007909A7" w:rsidRPr="008028D8" w:rsidRDefault="007909A7" w:rsidP="007909A7">
            <w:pPr>
              <w:spacing w:before="120" w:after="120"/>
              <w:rPr>
                <w:rFonts w:ascii="Arial" w:hAnsi="Arial" w:cs="Arial"/>
                <w:bCs/>
                <w:sz w:val="24"/>
                <w:szCs w:val="24"/>
              </w:rPr>
            </w:pPr>
            <w:r w:rsidRPr="008028D8">
              <w:rPr>
                <w:rFonts w:ascii="Arial" w:hAnsi="Arial" w:cs="Arial"/>
                <w:bCs/>
                <w:sz w:val="24"/>
                <w:szCs w:val="24"/>
              </w:rPr>
              <w:t>4. Highest</w:t>
            </w:r>
          </w:p>
        </w:tc>
        <w:tc>
          <w:tcPr>
            <w:tcW w:w="1540" w:type="dxa"/>
          </w:tcPr>
          <w:p w14:paraId="2C98885A" w14:textId="4448764F" w:rsidR="007909A7" w:rsidRPr="007909A7" w:rsidRDefault="007909A7" w:rsidP="007909A7">
            <w:pPr>
              <w:spacing w:before="120"/>
              <w:jc w:val="center"/>
              <w:rPr>
                <w:rFonts w:ascii="Arial" w:hAnsi="Arial" w:cs="Arial"/>
                <w:color w:val="000000"/>
              </w:rPr>
            </w:pPr>
            <w:r w:rsidRPr="007909A7">
              <w:rPr>
                <w:rFonts w:ascii="Arial" w:hAnsi="Arial" w:cs="Arial"/>
                <w:color w:val="000000"/>
              </w:rPr>
              <w:t>85.00</w:t>
            </w:r>
          </w:p>
        </w:tc>
        <w:tc>
          <w:tcPr>
            <w:tcW w:w="1528" w:type="dxa"/>
          </w:tcPr>
          <w:p w14:paraId="72B3C2BA" w14:textId="445B88DF" w:rsidR="007909A7" w:rsidRPr="007909A7" w:rsidRDefault="007909A7" w:rsidP="007909A7">
            <w:pPr>
              <w:spacing w:before="120"/>
              <w:jc w:val="center"/>
              <w:rPr>
                <w:rFonts w:ascii="Arial" w:hAnsi="Arial" w:cs="Arial"/>
                <w:color w:val="000000"/>
              </w:rPr>
            </w:pPr>
            <w:r w:rsidRPr="007909A7">
              <w:rPr>
                <w:rFonts w:ascii="Arial" w:hAnsi="Arial" w:cs="Arial"/>
                <w:color w:val="000000"/>
              </w:rPr>
              <w:t>52.00</w:t>
            </w:r>
          </w:p>
        </w:tc>
        <w:tc>
          <w:tcPr>
            <w:tcW w:w="1539" w:type="dxa"/>
          </w:tcPr>
          <w:p w14:paraId="75425832" w14:textId="492DAD0F" w:rsidR="007909A7" w:rsidRPr="007909A7" w:rsidRDefault="007909A7" w:rsidP="007909A7">
            <w:pPr>
              <w:spacing w:before="120"/>
              <w:jc w:val="center"/>
              <w:rPr>
                <w:rFonts w:ascii="Arial" w:hAnsi="Arial" w:cs="Arial"/>
                <w:color w:val="000000"/>
              </w:rPr>
            </w:pPr>
            <w:r w:rsidRPr="007909A7">
              <w:rPr>
                <w:rFonts w:ascii="Arial" w:hAnsi="Arial" w:cs="Arial"/>
                <w:color w:val="000000"/>
              </w:rPr>
              <w:t>62.04</w:t>
            </w:r>
            <w:r>
              <w:rPr>
                <w:rFonts w:ascii="Arial" w:hAnsi="Arial" w:cs="Arial"/>
                <w:color w:val="000000"/>
              </w:rPr>
              <w:t>%</w:t>
            </w:r>
          </w:p>
        </w:tc>
        <w:tc>
          <w:tcPr>
            <w:tcW w:w="1530" w:type="dxa"/>
          </w:tcPr>
          <w:p w14:paraId="0D3E7578" w14:textId="7854E180" w:rsidR="007909A7" w:rsidRPr="007909A7" w:rsidRDefault="007909A7" w:rsidP="007909A7">
            <w:pPr>
              <w:spacing w:before="120"/>
              <w:jc w:val="center"/>
              <w:rPr>
                <w:rFonts w:ascii="Arial" w:hAnsi="Arial" w:cs="Arial"/>
                <w:color w:val="000000"/>
              </w:rPr>
            </w:pPr>
            <w:r w:rsidRPr="007909A7">
              <w:rPr>
                <w:rFonts w:ascii="Arial" w:hAnsi="Arial" w:cs="Arial"/>
                <w:color w:val="000000"/>
              </w:rPr>
              <w:t>37.96</w:t>
            </w:r>
            <w:r>
              <w:rPr>
                <w:rFonts w:ascii="Arial" w:hAnsi="Arial" w:cs="Arial"/>
                <w:color w:val="000000"/>
              </w:rPr>
              <w:t>%</w:t>
            </w:r>
          </w:p>
        </w:tc>
      </w:tr>
    </w:tbl>
    <w:p w14:paraId="541ACBDC" w14:textId="09748632" w:rsidR="006B7CAD" w:rsidRDefault="006B7CAD" w:rsidP="00E700ED">
      <w:pPr>
        <w:rPr>
          <w:rFonts w:ascii="Arial" w:hAnsi="Arial" w:cs="Arial"/>
          <w:sz w:val="24"/>
          <w:szCs w:val="24"/>
          <w:highlight w:val="yellow"/>
        </w:rPr>
      </w:pPr>
    </w:p>
    <w:p w14:paraId="230BA2E5" w14:textId="1A668ABF" w:rsidR="00752947" w:rsidRDefault="006B7CAD" w:rsidP="00E700ED">
      <w:pPr>
        <w:rPr>
          <w:rFonts w:ascii="Arial" w:hAnsi="Arial" w:cs="Arial"/>
          <w:sz w:val="24"/>
          <w:szCs w:val="24"/>
        </w:rPr>
      </w:pPr>
      <w:r w:rsidRPr="008028D8">
        <w:rPr>
          <w:rFonts w:ascii="Arial" w:hAnsi="Arial" w:cs="Arial"/>
          <w:sz w:val="24"/>
          <w:szCs w:val="24"/>
        </w:rPr>
        <w:t xml:space="preserve">The difference in hourly pay is driven by </w:t>
      </w:r>
      <w:proofErr w:type="gramStart"/>
      <w:r w:rsidRPr="008028D8">
        <w:rPr>
          <w:rFonts w:ascii="Arial" w:hAnsi="Arial" w:cs="Arial"/>
          <w:sz w:val="24"/>
          <w:szCs w:val="24"/>
        </w:rPr>
        <w:t>a number of</w:t>
      </w:r>
      <w:proofErr w:type="gramEnd"/>
      <w:r w:rsidRPr="008028D8">
        <w:rPr>
          <w:rFonts w:ascii="Arial" w:hAnsi="Arial" w:cs="Arial"/>
          <w:sz w:val="24"/>
          <w:szCs w:val="24"/>
        </w:rPr>
        <w:t xml:space="preserve"> factors, including the greater proportion of female employees in the lowest pay quartile (</w:t>
      </w:r>
      <w:r w:rsidR="008028D8">
        <w:rPr>
          <w:rFonts w:ascii="Arial" w:hAnsi="Arial" w:cs="Arial"/>
          <w:sz w:val="24"/>
          <w:szCs w:val="24"/>
        </w:rPr>
        <w:t>9</w:t>
      </w:r>
      <w:r w:rsidR="007909A7">
        <w:rPr>
          <w:rFonts w:ascii="Arial" w:hAnsi="Arial" w:cs="Arial"/>
          <w:sz w:val="24"/>
          <w:szCs w:val="24"/>
        </w:rPr>
        <w:t>3</w:t>
      </w:r>
      <w:r w:rsidR="008028D8">
        <w:rPr>
          <w:rFonts w:ascii="Arial" w:hAnsi="Arial" w:cs="Arial"/>
          <w:sz w:val="24"/>
          <w:szCs w:val="24"/>
        </w:rPr>
        <w:t>.</w:t>
      </w:r>
      <w:r w:rsidR="007909A7">
        <w:rPr>
          <w:rFonts w:ascii="Arial" w:hAnsi="Arial" w:cs="Arial"/>
          <w:sz w:val="24"/>
          <w:szCs w:val="24"/>
        </w:rPr>
        <w:t>7</w:t>
      </w:r>
      <w:r w:rsidR="008A4BE9">
        <w:rPr>
          <w:rFonts w:ascii="Arial" w:hAnsi="Arial" w:cs="Arial"/>
          <w:sz w:val="24"/>
          <w:szCs w:val="24"/>
        </w:rPr>
        <w:t>5</w:t>
      </w:r>
      <w:r w:rsidRPr="008028D8">
        <w:rPr>
          <w:rFonts w:ascii="Arial" w:hAnsi="Arial" w:cs="Arial"/>
          <w:sz w:val="24"/>
          <w:szCs w:val="24"/>
        </w:rPr>
        <w:t xml:space="preserve">%) compared to </w:t>
      </w:r>
      <w:r w:rsidR="00741917">
        <w:rPr>
          <w:rFonts w:ascii="Arial" w:hAnsi="Arial" w:cs="Arial"/>
          <w:sz w:val="24"/>
          <w:szCs w:val="24"/>
        </w:rPr>
        <w:t>the</w:t>
      </w:r>
      <w:r w:rsidRPr="008028D8">
        <w:rPr>
          <w:rFonts w:ascii="Arial" w:hAnsi="Arial" w:cs="Arial"/>
          <w:sz w:val="24"/>
          <w:szCs w:val="24"/>
        </w:rPr>
        <w:t xml:space="preserve"> average across all quartiles for female employees.</w:t>
      </w:r>
    </w:p>
    <w:p w14:paraId="1074FB38" w14:textId="77777777" w:rsidR="00744294" w:rsidRDefault="00744294" w:rsidP="003C43AC">
      <w:pPr>
        <w:pStyle w:val="Heading1"/>
        <w:spacing w:before="120" w:after="120"/>
        <w:rPr>
          <w:rFonts w:ascii="Arial" w:eastAsiaTheme="minorHAnsi" w:hAnsi="Arial" w:cs="Arial"/>
          <w:b w:val="0"/>
          <w:bCs w:val="0"/>
          <w:color w:val="auto"/>
          <w:sz w:val="24"/>
          <w:szCs w:val="24"/>
        </w:rPr>
      </w:pPr>
      <w:bookmarkStart w:id="6" w:name="_Toc68001648"/>
    </w:p>
    <w:p w14:paraId="72D64684" w14:textId="77777777" w:rsidR="003C43AC" w:rsidRPr="003C43AC" w:rsidRDefault="00EC6BEF" w:rsidP="003C43AC">
      <w:pPr>
        <w:pStyle w:val="Heading1"/>
        <w:spacing w:before="120" w:after="120"/>
        <w:rPr>
          <w:rFonts w:ascii="Arial" w:hAnsi="Arial" w:cs="Arial"/>
          <w:color w:val="auto"/>
          <w:sz w:val="24"/>
          <w:szCs w:val="24"/>
        </w:rPr>
      </w:pPr>
      <w:r>
        <w:rPr>
          <w:rFonts w:ascii="Arial" w:hAnsi="Arial" w:cs="Arial"/>
          <w:color w:val="auto"/>
          <w:sz w:val="24"/>
          <w:szCs w:val="24"/>
        </w:rPr>
        <w:t>7</w:t>
      </w:r>
      <w:r w:rsidR="003C43AC" w:rsidRPr="003C43AC">
        <w:rPr>
          <w:rFonts w:ascii="Arial" w:hAnsi="Arial" w:cs="Arial"/>
          <w:color w:val="auto"/>
          <w:sz w:val="24"/>
          <w:szCs w:val="24"/>
        </w:rPr>
        <w:t>.0</w:t>
      </w:r>
      <w:r w:rsidR="003C43AC" w:rsidRPr="003C43AC">
        <w:rPr>
          <w:rFonts w:ascii="Arial" w:hAnsi="Arial" w:cs="Arial"/>
          <w:color w:val="auto"/>
          <w:sz w:val="24"/>
          <w:szCs w:val="24"/>
        </w:rPr>
        <w:tab/>
      </w:r>
      <w:r w:rsidR="003C43AC">
        <w:rPr>
          <w:rFonts w:ascii="Arial" w:hAnsi="Arial" w:cs="Arial"/>
          <w:color w:val="auto"/>
          <w:sz w:val="24"/>
          <w:szCs w:val="24"/>
        </w:rPr>
        <w:t>BONUS GENDER PAY GAP</w:t>
      </w:r>
      <w:bookmarkEnd w:id="6"/>
    </w:p>
    <w:p w14:paraId="2AC006EC" w14:textId="4F2521D5" w:rsidR="00572EF9" w:rsidRDefault="00572EF9" w:rsidP="00E700ED">
      <w:pPr>
        <w:rPr>
          <w:rFonts w:ascii="Arial" w:hAnsi="Arial" w:cs="Arial"/>
          <w:sz w:val="24"/>
          <w:szCs w:val="24"/>
        </w:rPr>
      </w:pPr>
      <w:r w:rsidRPr="00572EF9">
        <w:rPr>
          <w:rFonts w:ascii="Arial" w:hAnsi="Arial" w:cs="Arial"/>
          <w:sz w:val="24"/>
          <w:szCs w:val="24"/>
        </w:rPr>
        <w:t xml:space="preserve">Under the Regulations, only payments which relate to profit sharing, productivity, performance, incentive or commission should be included in the bonus calculations. </w:t>
      </w:r>
      <w:r>
        <w:rPr>
          <w:rFonts w:ascii="Arial" w:hAnsi="Arial" w:cs="Arial"/>
          <w:sz w:val="24"/>
          <w:szCs w:val="24"/>
        </w:rPr>
        <w:t>During the period 1 April 20</w:t>
      </w:r>
      <w:r w:rsidR="008443AE">
        <w:rPr>
          <w:rFonts w:ascii="Arial" w:hAnsi="Arial" w:cs="Arial"/>
          <w:sz w:val="24"/>
          <w:szCs w:val="24"/>
        </w:rPr>
        <w:t>2</w:t>
      </w:r>
      <w:r w:rsidR="007909A7">
        <w:rPr>
          <w:rFonts w:ascii="Arial" w:hAnsi="Arial" w:cs="Arial"/>
          <w:sz w:val="24"/>
          <w:szCs w:val="24"/>
        </w:rPr>
        <w:t>4</w:t>
      </w:r>
      <w:r>
        <w:rPr>
          <w:rFonts w:ascii="Arial" w:hAnsi="Arial" w:cs="Arial"/>
          <w:sz w:val="24"/>
          <w:szCs w:val="24"/>
        </w:rPr>
        <w:t xml:space="preserve"> to 31 March 202</w:t>
      </w:r>
      <w:r w:rsidR="007909A7">
        <w:rPr>
          <w:rFonts w:ascii="Arial" w:hAnsi="Arial" w:cs="Arial"/>
          <w:sz w:val="24"/>
          <w:szCs w:val="24"/>
        </w:rPr>
        <w:t>5</w:t>
      </w:r>
      <w:r>
        <w:rPr>
          <w:rFonts w:ascii="Arial" w:hAnsi="Arial" w:cs="Arial"/>
          <w:sz w:val="24"/>
          <w:szCs w:val="24"/>
        </w:rPr>
        <w:t xml:space="preserve"> </w:t>
      </w:r>
      <w:r w:rsidR="007909A7">
        <w:rPr>
          <w:rFonts w:ascii="Arial" w:hAnsi="Arial" w:cs="Arial"/>
          <w:sz w:val="24"/>
          <w:szCs w:val="24"/>
        </w:rPr>
        <w:t>one</w:t>
      </w:r>
      <w:r>
        <w:rPr>
          <w:rFonts w:ascii="Arial" w:hAnsi="Arial" w:cs="Arial"/>
          <w:sz w:val="24"/>
          <w:szCs w:val="24"/>
        </w:rPr>
        <w:t xml:space="preserve"> such bonus payment </w:t>
      </w:r>
      <w:r w:rsidR="007909A7">
        <w:rPr>
          <w:rFonts w:ascii="Arial" w:hAnsi="Arial" w:cs="Arial"/>
          <w:sz w:val="24"/>
          <w:szCs w:val="24"/>
        </w:rPr>
        <w:t>was</w:t>
      </w:r>
      <w:r>
        <w:rPr>
          <w:rFonts w:ascii="Arial" w:hAnsi="Arial" w:cs="Arial"/>
          <w:sz w:val="24"/>
          <w:szCs w:val="24"/>
        </w:rPr>
        <w:t xml:space="preserve"> made.</w:t>
      </w:r>
    </w:p>
    <w:p w14:paraId="7F100A4D" w14:textId="7E269F73" w:rsidR="00572EF9" w:rsidRDefault="00572EF9" w:rsidP="00E700ED">
      <w:pPr>
        <w:rPr>
          <w:rFonts w:ascii="Arial" w:hAnsi="Arial" w:cs="Arial"/>
          <w:sz w:val="24"/>
          <w:szCs w:val="24"/>
        </w:rPr>
      </w:pPr>
      <w:r w:rsidRPr="00572EF9">
        <w:rPr>
          <w:rFonts w:ascii="Arial" w:hAnsi="Arial" w:cs="Arial"/>
          <w:sz w:val="24"/>
          <w:szCs w:val="24"/>
        </w:rPr>
        <w:t>In the NHS, long service awards tend to be for nominal amounts and so do not provide the incentive usually associated with significant monetary long service bonuses. There was debate about whether nominal long service awards should be included as bonus pay but the ACAS guidance states that such awards with a monetary value should be included.</w:t>
      </w:r>
    </w:p>
    <w:p w14:paraId="725394C1" w14:textId="3ED44A3E" w:rsidR="00572EF9" w:rsidRDefault="00F926F8" w:rsidP="007909A7">
      <w:pPr>
        <w:spacing w:after="0" w:line="240" w:lineRule="auto"/>
        <w:rPr>
          <w:rFonts w:ascii="Arial" w:hAnsi="Arial" w:cs="Arial"/>
          <w:sz w:val="24"/>
          <w:szCs w:val="24"/>
        </w:rPr>
      </w:pPr>
      <w:r>
        <w:rPr>
          <w:rFonts w:ascii="Arial" w:hAnsi="Arial" w:cs="Arial"/>
          <w:sz w:val="24"/>
          <w:szCs w:val="24"/>
        </w:rPr>
        <w:t>During the period 1 April 202</w:t>
      </w:r>
      <w:r w:rsidR="007909A7">
        <w:rPr>
          <w:rFonts w:ascii="Arial" w:hAnsi="Arial" w:cs="Arial"/>
          <w:sz w:val="24"/>
          <w:szCs w:val="24"/>
        </w:rPr>
        <w:t>4</w:t>
      </w:r>
      <w:r>
        <w:rPr>
          <w:rFonts w:ascii="Arial" w:hAnsi="Arial" w:cs="Arial"/>
          <w:sz w:val="24"/>
          <w:szCs w:val="24"/>
        </w:rPr>
        <w:t xml:space="preserve"> to 31 March 202</w:t>
      </w:r>
      <w:r w:rsidR="007909A7">
        <w:rPr>
          <w:rFonts w:ascii="Arial" w:hAnsi="Arial" w:cs="Arial"/>
          <w:sz w:val="24"/>
          <w:szCs w:val="24"/>
        </w:rPr>
        <w:t>5</w:t>
      </w:r>
      <w:r>
        <w:rPr>
          <w:rFonts w:ascii="Arial" w:hAnsi="Arial" w:cs="Arial"/>
          <w:sz w:val="24"/>
          <w:szCs w:val="24"/>
        </w:rPr>
        <w:t xml:space="preserve">, </w:t>
      </w:r>
      <w:r w:rsidR="00E83203">
        <w:rPr>
          <w:rFonts w:ascii="Arial" w:hAnsi="Arial" w:cs="Arial"/>
          <w:sz w:val="24"/>
          <w:szCs w:val="24"/>
        </w:rPr>
        <w:t>1</w:t>
      </w:r>
      <w:r w:rsidR="007909A7">
        <w:rPr>
          <w:rFonts w:ascii="Arial" w:hAnsi="Arial" w:cs="Arial"/>
          <w:sz w:val="24"/>
          <w:szCs w:val="24"/>
        </w:rPr>
        <w:t>1</w:t>
      </w:r>
      <w:r>
        <w:rPr>
          <w:rFonts w:ascii="Arial" w:hAnsi="Arial" w:cs="Arial"/>
          <w:sz w:val="24"/>
          <w:szCs w:val="24"/>
        </w:rPr>
        <w:t xml:space="preserve"> employees received a long service award.</w:t>
      </w:r>
      <w:r w:rsidR="00E83203">
        <w:rPr>
          <w:rFonts w:ascii="Arial" w:hAnsi="Arial" w:cs="Arial"/>
          <w:sz w:val="24"/>
          <w:szCs w:val="24"/>
        </w:rPr>
        <w:t xml:space="preserve"> </w:t>
      </w:r>
      <w:r w:rsidR="007909A7">
        <w:rPr>
          <w:rFonts w:ascii="Arial" w:hAnsi="Arial" w:cs="Arial"/>
          <w:sz w:val="24"/>
          <w:szCs w:val="24"/>
        </w:rPr>
        <w:t>10</w:t>
      </w:r>
      <w:r w:rsidR="00E83203">
        <w:rPr>
          <w:rFonts w:ascii="Arial" w:hAnsi="Arial" w:cs="Arial"/>
          <w:sz w:val="24"/>
          <w:szCs w:val="24"/>
        </w:rPr>
        <w:t xml:space="preserve"> employees were female</w:t>
      </w:r>
      <w:r w:rsidR="007909A7">
        <w:rPr>
          <w:rFonts w:ascii="Arial" w:hAnsi="Arial" w:cs="Arial"/>
          <w:sz w:val="24"/>
          <w:szCs w:val="24"/>
        </w:rPr>
        <w:t xml:space="preserve"> and 1 male</w:t>
      </w:r>
      <w:r w:rsidR="00E83203">
        <w:rPr>
          <w:rFonts w:ascii="Arial" w:hAnsi="Arial" w:cs="Arial"/>
          <w:sz w:val="24"/>
          <w:szCs w:val="24"/>
        </w:rPr>
        <w:t>.</w:t>
      </w:r>
    </w:p>
    <w:tbl>
      <w:tblPr>
        <w:tblStyle w:val="TableGrid"/>
        <w:tblpPr w:leftFromText="180" w:rightFromText="180" w:vertAnchor="text" w:horzAnchor="margin" w:tblpY="416"/>
        <w:tblW w:w="0" w:type="auto"/>
        <w:tblLook w:val="04A0" w:firstRow="1" w:lastRow="0" w:firstColumn="1" w:lastColumn="0" w:noHBand="0" w:noVBand="1"/>
      </w:tblPr>
      <w:tblGrid>
        <w:gridCol w:w="2547"/>
        <w:gridCol w:w="2412"/>
        <w:gridCol w:w="2025"/>
        <w:gridCol w:w="2037"/>
      </w:tblGrid>
      <w:tr w:rsidR="00D5642A" w14:paraId="78CDC5CB" w14:textId="77777777" w:rsidTr="00F926F8">
        <w:tc>
          <w:tcPr>
            <w:tcW w:w="2547" w:type="dxa"/>
            <w:tcBorders>
              <w:top w:val="nil"/>
              <w:left w:val="nil"/>
              <w:bottom w:val="single" w:sz="4" w:space="0" w:color="auto"/>
              <w:right w:val="single" w:sz="4" w:space="0" w:color="auto"/>
            </w:tcBorders>
          </w:tcPr>
          <w:p w14:paraId="20D2860F" w14:textId="77777777" w:rsidR="00D5642A" w:rsidRDefault="00D5642A" w:rsidP="00D5642A">
            <w:pPr>
              <w:spacing w:before="120" w:after="120"/>
              <w:jc w:val="center"/>
              <w:rPr>
                <w:rFonts w:ascii="Arial" w:hAnsi="Arial" w:cs="Arial"/>
                <w:b/>
                <w:bCs/>
                <w:sz w:val="24"/>
                <w:szCs w:val="24"/>
              </w:rPr>
            </w:pPr>
          </w:p>
        </w:tc>
        <w:tc>
          <w:tcPr>
            <w:tcW w:w="2412" w:type="dxa"/>
            <w:tcBorders>
              <w:left w:val="single" w:sz="4" w:space="0" w:color="auto"/>
            </w:tcBorders>
          </w:tcPr>
          <w:p w14:paraId="476DA007" w14:textId="77777777" w:rsidR="00D5642A" w:rsidRDefault="00D5642A" w:rsidP="00D5642A">
            <w:pPr>
              <w:spacing w:before="120" w:after="120"/>
              <w:jc w:val="center"/>
              <w:rPr>
                <w:rFonts w:ascii="Arial" w:hAnsi="Arial" w:cs="Arial"/>
                <w:b/>
                <w:bCs/>
                <w:sz w:val="24"/>
                <w:szCs w:val="24"/>
              </w:rPr>
            </w:pPr>
            <w:r>
              <w:rPr>
                <w:rFonts w:ascii="Arial" w:hAnsi="Arial" w:cs="Arial"/>
                <w:b/>
                <w:bCs/>
                <w:sz w:val="24"/>
                <w:szCs w:val="24"/>
              </w:rPr>
              <w:t>Female</w:t>
            </w:r>
          </w:p>
        </w:tc>
        <w:tc>
          <w:tcPr>
            <w:tcW w:w="2025" w:type="dxa"/>
            <w:tcBorders>
              <w:left w:val="single" w:sz="4" w:space="0" w:color="auto"/>
              <w:right w:val="single" w:sz="4" w:space="0" w:color="auto"/>
            </w:tcBorders>
          </w:tcPr>
          <w:p w14:paraId="53A0F752" w14:textId="77777777" w:rsidR="00D5642A" w:rsidRDefault="00D5642A" w:rsidP="00D5642A">
            <w:pPr>
              <w:spacing w:before="120" w:after="120"/>
              <w:jc w:val="center"/>
              <w:rPr>
                <w:rFonts w:ascii="Arial" w:hAnsi="Arial" w:cs="Arial"/>
                <w:b/>
                <w:bCs/>
                <w:sz w:val="24"/>
                <w:szCs w:val="24"/>
              </w:rPr>
            </w:pPr>
            <w:r>
              <w:rPr>
                <w:rFonts w:ascii="Arial" w:hAnsi="Arial" w:cs="Arial"/>
                <w:b/>
                <w:bCs/>
                <w:sz w:val="24"/>
                <w:szCs w:val="24"/>
              </w:rPr>
              <w:t>Male</w:t>
            </w:r>
          </w:p>
        </w:tc>
        <w:tc>
          <w:tcPr>
            <w:tcW w:w="2037" w:type="dxa"/>
            <w:tcBorders>
              <w:left w:val="single" w:sz="4" w:space="0" w:color="auto"/>
            </w:tcBorders>
          </w:tcPr>
          <w:p w14:paraId="613CE944" w14:textId="77777777" w:rsidR="00D5642A" w:rsidRDefault="00D5642A" w:rsidP="00D5642A">
            <w:pPr>
              <w:spacing w:before="120" w:after="120"/>
              <w:jc w:val="center"/>
              <w:rPr>
                <w:rFonts w:ascii="Arial" w:hAnsi="Arial" w:cs="Arial"/>
                <w:b/>
                <w:bCs/>
                <w:sz w:val="24"/>
                <w:szCs w:val="24"/>
              </w:rPr>
            </w:pPr>
            <w:r>
              <w:rPr>
                <w:rFonts w:ascii="Arial" w:hAnsi="Arial" w:cs="Arial"/>
                <w:b/>
                <w:bCs/>
                <w:sz w:val="24"/>
                <w:szCs w:val="24"/>
              </w:rPr>
              <w:t>Gap</w:t>
            </w:r>
          </w:p>
        </w:tc>
      </w:tr>
      <w:tr w:rsidR="00F926F8" w14:paraId="5E1B7C1A" w14:textId="77777777" w:rsidTr="00F926F8">
        <w:tc>
          <w:tcPr>
            <w:tcW w:w="2547" w:type="dxa"/>
            <w:tcBorders>
              <w:top w:val="single" w:sz="4" w:space="0" w:color="auto"/>
            </w:tcBorders>
            <w:shd w:val="clear" w:color="auto" w:fill="B8CCE4" w:themeFill="accent1" w:themeFillTint="66"/>
          </w:tcPr>
          <w:p w14:paraId="0929F2C3" w14:textId="77777777" w:rsidR="00F926F8" w:rsidRDefault="00F926F8" w:rsidP="00F926F8">
            <w:pPr>
              <w:spacing w:before="120" w:after="120"/>
              <w:rPr>
                <w:rFonts w:ascii="Arial" w:hAnsi="Arial" w:cs="Arial"/>
                <w:bCs/>
                <w:sz w:val="24"/>
                <w:szCs w:val="24"/>
              </w:rPr>
            </w:pPr>
            <w:r>
              <w:rPr>
                <w:rFonts w:ascii="Arial" w:hAnsi="Arial" w:cs="Arial"/>
                <w:bCs/>
                <w:sz w:val="24"/>
                <w:szCs w:val="24"/>
              </w:rPr>
              <w:t>Mean bonus payment</w:t>
            </w:r>
          </w:p>
        </w:tc>
        <w:tc>
          <w:tcPr>
            <w:tcW w:w="2412" w:type="dxa"/>
          </w:tcPr>
          <w:p w14:paraId="2952D99D" w14:textId="7BFA454E" w:rsidR="00F926F8" w:rsidRPr="00CE624C" w:rsidRDefault="007909A7" w:rsidP="00F926F8">
            <w:pPr>
              <w:spacing w:before="120" w:after="120"/>
              <w:jc w:val="center"/>
              <w:rPr>
                <w:rFonts w:ascii="Arial" w:hAnsi="Arial" w:cs="Arial"/>
                <w:bCs/>
                <w:sz w:val="24"/>
                <w:szCs w:val="24"/>
                <w:highlight w:val="yellow"/>
              </w:rPr>
            </w:pPr>
            <w:r w:rsidRPr="007909A7">
              <w:rPr>
                <w:rFonts w:ascii="Arial" w:hAnsi="Arial" w:cs="Arial"/>
                <w:bCs/>
                <w:sz w:val="24"/>
                <w:szCs w:val="24"/>
              </w:rPr>
              <w:t>£384.86</w:t>
            </w:r>
          </w:p>
        </w:tc>
        <w:tc>
          <w:tcPr>
            <w:tcW w:w="2025" w:type="dxa"/>
          </w:tcPr>
          <w:p w14:paraId="6A732D68" w14:textId="5697660D" w:rsidR="00F926F8" w:rsidRPr="00E83203" w:rsidRDefault="007909A7" w:rsidP="00F926F8">
            <w:pPr>
              <w:spacing w:before="120" w:after="120"/>
              <w:jc w:val="center"/>
              <w:rPr>
                <w:rFonts w:ascii="Arial" w:hAnsi="Arial" w:cs="Arial"/>
                <w:bCs/>
                <w:sz w:val="24"/>
                <w:szCs w:val="24"/>
              </w:rPr>
            </w:pPr>
            <w:r>
              <w:rPr>
                <w:rFonts w:ascii="Arial" w:hAnsi="Arial" w:cs="Arial"/>
                <w:bCs/>
                <w:sz w:val="24"/>
                <w:szCs w:val="24"/>
              </w:rPr>
              <w:t>£350</w:t>
            </w:r>
          </w:p>
        </w:tc>
        <w:tc>
          <w:tcPr>
            <w:tcW w:w="2037" w:type="dxa"/>
          </w:tcPr>
          <w:p w14:paraId="5FA1D2A9" w14:textId="1F5F330D" w:rsidR="00F926F8" w:rsidRPr="00CE624C" w:rsidRDefault="00E83203" w:rsidP="00F926F8">
            <w:pPr>
              <w:spacing w:before="120" w:after="120"/>
              <w:jc w:val="center"/>
              <w:rPr>
                <w:rFonts w:ascii="Arial" w:hAnsi="Arial" w:cs="Arial"/>
                <w:bCs/>
                <w:sz w:val="24"/>
                <w:szCs w:val="24"/>
                <w:highlight w:val="yellow"/>
              </w:rPr>
            </w:pPr>
            <w:r w:rsidRPr="00E83203">
              <w:rPr>
                <w:rFonts w:ascii="Arial" w:hAnsi="Arial" w:cs="Arial"/>
                <w:bCs/>
                <w:sz w:val="24"/>
                <w:szCs w:val="24"/>
              </w:rPr>
              <w:t>-</w:t>
            </w:r>
            <w:r w:rsidR="006264B3">
              <w:rPr>
                <w:rFonts w:ascii="Arial" w:hAnsi="Arial" w:cs="Arial"/>
                <w:bCs/>
                <w:sz w:val="24"/>
                <w:szCs w:val="24"/>
              </w:rPr>
              <w:t>10%</w:t>
            </w:r>
          </w:p>
        </w:tc>
      </w:tr>
      <w:tr w:rsidR="00F926F8" w14:paraId="51186478" w14:textId="77777777" w:rsidTr="00F926F8">
        <w:tc>
          <w:tcPr>
            <w:tcW w:w="2547" w:type="dxa"/>
            <w:shd w:val="clear" w:color="auto" w:fill="B8CCE4" w:themeFill="accent1" w:themeFillTint="66"/>
          </w:tcPr>
          <w:p w14:paraId="5F74E210" w14:textId="77777777" w:rsidR="00F926F8" w:rsidRDefault="00F926F8" w:rsidP="00F926F8">
            <w:pPr>
              <w:spacing w:before="120" w:after="120"/>
              <w:rPr>
                <w:rFonts w:ascii="Arial" w:hAnsi="Arial" w:cs="Arial"/>
                <w:bCs/>
                <w:sz w:val="24"/>
                <w:szCs w:val="24"/>
              </w:rPr>
            </w:pPr>
            <w:r>
              <w:rPr>
                <w:rFonts w:ascii="Arial" w:hAnsi="Arial" w:cs="Arial"/>
                <w:bCs/>
                <w:sz w:val="24"/>
                <w:szCs w:val="24"/>
              </w:rPr>
              <w:t>Median bonus payment</w:t>
            </w:r>
          </w:p>
        </w:tc>
        <w:tc>
          <w:tcPr>
            <w:tcW w:w="2412" w:type="dxa"/>
          </w:tcPr>
          <w:p w14:paraId="221159E1" w14:textId="739B5A62" w:rsidR="00F926F8" w:rsidRPr="00CE624C" w:rsidRDefault="007909A7" w:rsidP="00F926F8">
            <w:pPr>
              <w:spacing w:before="120" w:after="120"/>
              <w:jc w:val="center"/>
              <w:rPr>
                <w:rFonts w:ascii="Arial" w:hAnsi="Arial" w:cs="Arial"/>
                <w:bCs/>
                <w:sz w:val="24"/>
                <w:szCs w:val="24"/>
                <w:highlight w:val="yellow"/>
              </w:rPr>
            </w:pPr>
            <w:r w:rsidRPr="007909A7">
              <w:rPr>
                <w:rFonts w:ascii="Arial" w:hAnsi="Arial" w:cs="Arial"/>
                <w:bCs/>
                <w:sz w:val="24"/>
                <w:szCs w:val="24"/>
              </w:rPr>
              <w:t>£250</w:t>
            </w:r>
          </w:p>
        </w:tc>
        <w:tc>
          <w:tcPr>
            <w:tcW w:w="2025" w:type="dxa"/>
          </w:tcPr>
          <w:p w14:paraId="0EB1CCF5" w14:textId="0042C2B4" w:rsidR="00F926F8" w:rsidRPr="00E83203" w:rsidRDefault="007909A7" w:rsidP="00F926F8">
            <w:pPr>
              <w:spacing w:before="120" w:after="120"/>
              <w:jc w:val="center"/>
              <w:rPr>
                <w:rFonts w:ascii="Arial" w:hAnsi="Arial" w:cs="Arial"/>
                <w:bCs/>
                <w:sz w:val="24"/>
                <w:szCs w:val="24"/>
              </w:rPr>
            </w:pPr>
            <w:r>
              <w:rPr>
                <w:rFonts w:ascii="Arial" w:hAnsi="Arial" w:cs="Arial"/>
                <w:bCs/>
                <w:sz w:val="24"/>
                <w:szCs w:val="24"/>
              </w:rPr>
              <w:t>£350</w:t>
            </w:r>
          </w:p>
        </w:tc>
        <w:tc>
          <w:tcPr>
            <w:tcW w:w="2037" w:type="dxa"/>
          </w:tcPr>
          <w:p w14:paraId="561079AA" w14:textId="1C3BE65D" w:rsidR="00F926F8" w:rsidRPr="00CE624C" w:rsidRDefault="006264B3" w:rsidP="00F926F8">
            <w:pPr>
              <w:spacing w:before="120" w:after="120"/>
              <w:jc w:val="center"/>
              <w:rPr>
                <w:rFonts w:ascii="Arial" w:hAnsi="Arial" w:cs="Arial"/>
                <w:bCs/>
                <w:sz w:val="24"/>
                <w:szCs w:val="24"/>
                <w:highlight w:val="yellow"/>
              </w:rPr>
            </w:pPr>
            <w:r w:rsidRPr="006264B3">
              <w:rPr>
                <w:rFonts w:ascii="Arial" w:hAnsi="Arial" w:cs="Arial"/>
                <w:bCs/>
                <w:sz w:val="24"/>
                <w:szCs w:val="24"/>
              </w:rPr>
              <w:t>28.6%</w:t>
            </w:r>
          </w:p>
        </w:tc>
      </w:tr>
    </w:tbl>
    <w:p w14:paraId="3D73213D" w14:textId="77777777" w:rsidR="00D5642A" w:rsidRDefault="00D5642A" w:rsidP="00D5642A">
      <w:pPr>
        <w:spacing w:after="0" w:line="240" w:lineRule="auto"/>
        <w:rPr>
          <w:rFonts w:ascii="Arial" w:hAnsi="Arial" w:cs="Arial"/>
          <w:sz w:val="24"/>
          <w:szCs w:val="24"/>
        </w:rPr>
      </w:pPr>
    </w:p>
    <w:p w14:paraId="2EAA5240" w14:textId="77777777" w:rsidR="00D5642A" w:rsidRDefault="00D5642A" w:rsidP="00D5642A">
      <w:pPr>
        <w:spacing w:after="0" w:line="240" w:lineRule="auto"/>
        <w:rPr>
          <w:rFonts w:ascii="Arial" w:hAnsi="Arial" w:cs="Arial"/>
          <w:sz w:val="24"/>
          <w:szCs w:val="24"/>
        </w:rPr>
      </w:pPr>
    </w:p>
    <w:p w14:paraId="6105BBAF" w14:textId="31D5B759" w:rsidR="00F91532" w:rsidRPr="00F91532" w:rsidRDefault="00F91532" w:rsidP="00F91532">
      <w:pPr>
        <w:rPr>
          <w:rFonts w:ascii="Arial" w:hAnsi="Arial" w:cs="Arial"/>
          <w:sz w:val="24"/>
          <w:szCs w:val="24"/>
        </w:rPr>
      </w:pPr>
      <w:r w:rsidRPr="00F91532">
        <w:rPr>
          <w:rFonts w:ascii="Arial" w:hAnsi="Arial" w:cs="Arial"/>
          <w:sz w:val="24"/>
          <w:szCs w:val="24"/>
        </w:rPr>
        <w:t xml:space="preserve">“Long Service” is defined as continuous employment with NHS Derby and Derbyshire </w:t>
      </w:r>
      <w:r w:rsidR="00CE624C">
        <w:rPr>
          <w:rFonts w:ascii="Arial" w:hAnsi="Arial" w:cs="Arial"/>
          <w:sz w:val="24"/>
          <w:szCs w:val="24"/>
        </w:rPr>
        <w:t>ICB</w:t>
      </w:r>
      <w:r w:rsidRPr="00F91532">
        <w:rPr>
          <w:rFonts w:ascii="Arial" w:hAnsi="Arial" w:cs="Arial"/>
          <w:sz w:val="24"/>
          <w:szCs w:val="24"/>
        </w:rPr>
        <w:t>, the NHS or an associated employer via a TUPE (Transfer of Undertakings Protection of Employment Regulations) transfer situation for the following lengths of service:</w:t>
      </w:r>
    </w:p>
    <w:p w14:paraId="33FE0F60" w14:textId="6DD5F47E" w:rsidR="00F91532" w:rsidRPr="00F91532" w:rsidRDefault="00F91532" w:rsidP="00F91532">
      <w:pPr>
        <w:rPr>
          <w:rFonts w:ascii="Arial" w:hAnsi="Arial" w:cs="Arial"/>
          <w:sz w:val="24"/>
          <w:szCs w:val="24"/>
        </w:rPr>
      </w:pPr>
      <w:r w:rsidRPr="00F91532">
        <w:rPr>
          <w:rFonts w:ascii="Arial" w:hAnsi="Arial" w:cs="Arial"/>
          <w:sz w:val="24"/>
          <w:szCs w:val="24"/>
        </w:rPr>
        <w:t>On the anniversary of 20th year of employment</w:t>
      </w:r>
      <w:r>
        <w:rPr>
          <w:rFonts w:ascii="Arial" w:hAnsi="Arial" w:cs="Arial"/>
          <w:sz w:val="24"/>
          <w:szCs w:val="24"/>
        </w:rPr>
        <w:t xml:space="preserve"> - £250</w:t>
      </w:r>
    </w:p>
    <w:p w14:paraId="34A0B7CF" w14:textId="10BCCC8B" w:rsidR="00F91532" w:rsidRPr="00F91532" w:rsidRDefault="00F91532" w:rsidP="00F91532">
      <w:pPr>
        <w:rPr>
          <w:rFonts w:ascii="Arial" w:hAnsi="Arial" w:cs="Arial"/>
          <w:sz w:val="24"/>
          <w:szCs w:val="24"/>
        </w:rPr>
      </w:pPr>
      <w:r>
        <w:rPr>
          <w:rFonts w:ascii="Arial" w:hAnsi="Arial" w:cs="Arial"/>
          <w:sz w:val="24"/>
          <w:szCs w:val="24"/>
        </w:rPr>
        <w:t>O</w:t>
      </w:r>
      <w:r w:rsidRPr="00F91532">
        <w:rPr>
          <w:rFonts w:ascii="Arial" w:hAnsi="Arial" w:cs="Arial"/>
          <w:sz w:val="24"/>
          <w:szCs w:val="24"/>
        </w:rPr>
        <w:t>n the anniversary of 30th year of employment</w:t>
      </w:r>
      <w:r>
        <w:rPr>
          <w:rFonts w:ascii="Arial" w:hAnsi="Arial" w:cs="Arial"/>
          <w:sz w:val="24"/>
          <w:szCs w:val="24"/>
        </w:rPr>
        <w:t xml:space="preserve"> - £350</w:t>
      </w:r>
    </w:p>
    <w:p w14:paraId="4D0C1473" w14:textId="2B0E9B75" w:rsidR="00752947" w:rsidRDefault="00F91532" w:rsidP="00F91532">
      <w:pPr>
        <w:rPr>
          <w:rFonts w:ascii="Arial" w:hAnsi="Arial" w:cs="Arial"/>
          <w:sz w:val="24"/>
          <w:szCs w:val="24"/>
        </w:rPr>
      </w:pPr>
      <w:r w:rsidRPr="00F91532">
        <w:rPr>
          <w:rFonts w:ascii="Arial" w:hAnsi="Arial" w:cs="Arial"/>
          <w:sz w:val="24"/>
          <w:szCs w:val="24"/>
        </w:rPr>
        <w:t>On the anniversary of 40th year of employment</w:t>
      </w:r>
      <w:r>
        <w:rPr>
          <w:rFonts w:ascii="Arial" w:hAnsi="Arial" w:cs="Arial"/>
          <w:sz w:val="24"/>
          <w:szCs w:val="24"/>
        </w:rPr>
        <w:t xml:space="preserve"> - £500</w:t>
      </w:r>
    </w:p>
    <w:p w14:paraId="1D0183A1" w14:textId="77777777" w:rsidR="00F91532" w:rsidRDefault="00F91532" w:rsidP="00F91532">
      <w:pPr>
        <w:rPr>
          <w:rFonts w:ascii="Arial" w:hAnsi="Arial" w:cs="Arial"/>
          <w:sz w:val="24"/>
          <w:szCs w:val="24"/>
        </w:rPr>
      </w:pPr>
    </w:p>
    <w:p w14:paraId="63795232" w14:textId="77777777" w:rsidR="003C43AC" w:rsidRPr="003C43AC" w:rsidRDefault="00EC6BEF" w:rsidP="003C43AC">
      <w:pPr>
        <w:pStyle w:val="Heading1"/>
        <w:spacing w:before="120" w:after="120"/>
        <w:rPr>
          <w:rFonts w:ascii="Arial" w:hAnsi="Arial" w:cs="Arial"/>
          <w:color w:val="auto"/>
          <w:sz w:val="24"/>
          <w:szCs w:val="24"/>
        </w:rPr>
      </w:pPr>
      <w:bookmarkStart w:id="7" w:name="_Toc68001649"/>
      <w:r>
        <w:rPr>
          <w:rFonts w:ascii="Arial" w:hAnsi="Arial" w:cs="Arial"/>
          <w:color w:val="auto"/>
          <w:sz w:val="24"/>
          <w:szCs w:val="24"/>
        </w:rPr>
        <w:t>8</w:t>
      </w:r>
      <w:r w:rsidR="003C43AC" w:rsidRPr="003C43AC">
        <w:rPr>
          <w:rFonts w:ascii="Arial" w:hAnsi="Arial" w:cs="Arial"/>
          <w:color w:val="auto"/>
          <w:sz w:val="24"/>
          <w:szCs w:val="24"/>
        </w:rPr>
        <w:t>.0</w:t>
      </w:r>
      <w:r w:rsidR="003C43AC" w:rsidRPr="003C43AC">
        <w:rPr>
          <w:rFonts w:ascii="Arial" w:hAnsi="Arial" w:cs="Arial"/>
          <w:color w:val="auto"/>
          <w:sz w:val="24"/>
          <w:szCs w:val="24"/>
        </w:rPr>
        <w:tab/>
      </w:r>
      <w:r w:rsidR="003C43AC">
        <w:rPr>
          <w:rFonts w:ascii="Arial" w:hAnsi="Arial" w:cs="Arial"/>
          <w:color w:val="auto"/>
          <w:sz w:val="24"/>
          <w:szCs w:val="24"/>
        </w:rPr>
        <w:t xml:space="preserve">ACTIONS TO REMOVE THE GENDER PAY GAP </w:t>
      </w:r>
      <w:bookmarkEnd w:id="7"/>
    </w:p>
    <w:p w14:paraId="405340E0" w14:textId="4F595BF5" w:rsidR="00B7367B" w:rsidRDefault="00B7367B" w:rsidP="00B7367B">
      <w:pPr>
        <w:pStyle w:val="ListParagraph"/>
        <w:numPr>
          <w:ilvl w:val="0"/>
          <w:numId w:val="5"/>
        </w:numPr>
        <w:spacing w:before="120" w:after="120" w:line="240" w:lineRule="auto"/>
        <w:ind w:left="357" w:hanging="357"/>
        <w:contextualSpacing w:val="0"/>
        <w:rPr>
          <w:rFonts w:ascii="Arial" w:hAnsi="Arial" w:cs="Arial"/>
          <w:sz w:val="24"/>
          <w:szCs w:val="24"/>
        </w:rPr>
      </w:pPr>
      <w:r w:rsidRPr="00B7367B">
        <w:rPr>
          <w:rFonts w:ascii="Arial" w:hAnsi="Arial" w:cs="Arial"/>
          <w:sz w:val="24"/>
          <w:szCs w:val="24"/>
        </w:rPr>
        <w:t xml:space="preserve">Exploring how we can attract more men into lower graded roles </w:t>
      </w:r>
      <w:r w:rsidR="0050748D">
        <w:rPr>
          <w:rFonts w:ascii="Arial" w:hAnsi="Arial" w:cs="Arial"/>
          <w:sz w:val="24"/>
          <w:szCs w:val="24"/>
        </w:rPr>
        <w:t xml:space="preserve">such as the Medicines Order Line and other routes </w:t>
      </w:r>
      <w:r w:rsidRPr="00B7367B">
        <w:rPr>
          <w:rFonts w:ascii="Arial" w:hAnsi="Arial" w:cs="Arial"/>
          <w:sz w:val="24"/>
          <w:szCs w:val="24"/>
        </w:rPr>
        <w:t>i.e. through apprenticeships and work experience placements</w:t>
      </w:r>
    </w:p>
    <w:p w14:paraId="54EC9CC0" w14:textId="77777777" w:rsidR="00B7367B" w:rsidRDefault="00B7367B" w:rsidP="00B7367B">
      <w:pPr>
        <w:pStyle w:val="ListParagraph"/>
        <w:numPr>
          <w:ilvl w:val="0"/>
          <w:numId w:val="5"/>
        </w:numPr>
        <w:spacing w:before="120" w:after="120" w:line="240" w:lineRule="auto"/>
        <w:ind w:left="357" w:hanging="357"/>
        <w:contextualSpacing w:val="0"/>
        <w:rPr>
          <w:rFonts w:ascii="Arial" w:hAnsi="Arial" w:cs="Arial"/>
          <w:sz w:val="24"/>
          <w:szCs w:val="24"/>
        </w:rPr>
      </w:pPr>
      <w:r w:rsidRPr="00B7367B">
        <w:rPr>
          <w:rFonts w:ascii="Arial" w:hAnsi="Arial" w:cs="Arial"/>
          <w:sz w:val="24"/>
          <w:szCs w:val="24"/>
        </w:rPr>
        <w:t>Strengthening our work around equality, not just in relation to gender, but ensuring a fair, equitable and inclusive workplace for everyone</w:t>
      </w:r>
    </w:p>
    <w:p w14:paraId="1446679D" w14:textId="3D04FDAC" w:rsidR="00B7367B" w:rsidRPr="00B7367B" w:rsidRDefault="00B7367B" w:rsidP="00B7367B">
      <w:pPr>
        <w:pStyle w:val="ListParagraph"/>
        <w:numPr>
          <w:ilvl w:val="0"/>
          <w:numId w:val="5"/>
        </w:numPr>
        <w:spacing w:before="120" w:after="120" w:line="240" w:lineRule="auto"/>
        <w:ind w:left="357" w:hanging="357"/>
        <w:contextualSpacing w:val="0"/>
        <w:rPr>
          <w:rFonts w:ascii="Arial" w:hAnsi="Arial" w:cs="Arial"/>
          <w:sz w:val="24"/>
          <w:szCs w:val="24"/>
        </w:rPr>
      </w:pPr>
      <w:r w:rsidRPr="00B7367B">
        <w:rPr>
          <w:rFonts w:ascii="Arial" w:hAnsi="Arial" w:cs="Arial"/>
          <w:sz w:val="24"/>
          <w:szCs w:val="24"/>
        </w:rPr>
        <w:t xml:space="preserve">Promoting the ‘Availability of Flexibility’: the </w:t>
      </w:r>
      <w:r w:rsidR="00CE624C">
        <w:rPr>
          <w:rFonts w:ascii="Arial" w:hAnsi="Arial" w:cs="Arial"/>
          <w:sz w:val="24"/>
          <w:szCs w:val="24"/>
        </w:rPr>
        <w:t>ICB</w:t>
      </w:r>
      <w:r w:rsidRPr="00B7367B">
        <w:rPr>
          <w:rFonts w:ascii="Arial" w:hAnsi="Arial" w:cs="Arial"/>
          <w:sz w:val="24"/>
          <w:szCs w:val="24"/>
        </w:rPr>
        <w:t xml:space="preserve"> already has a wide range of flexible working options, but currently these are still predominantly accessed by our female workforce</w:t>
      </w:r>
    </w:p>
    <w:p w14:paraId="6C01C128" w14:textId="0C955DD9" w:rsidR="00B7367B" w:rsidRPr="00B7367B" w:rsidRDefault="00B7367B" w:rsidP="00B7367B">
      <w:pPr>
        <w:pStyle w:val="ListParagraph"/>
        <w:numPr>
          <w:ilvl w:val="0"/>
          <w:numId w:val="5"/>
        </w:numPr>
        <w:spacing w:before="120" w:after="120" w:line="240" w:lineRule="auto"/>
        <w:ind w:left="357" w:hanging="357"/>
        <w:contextualSpacing w:val="0"/>
        <w:rPr>
          <w:rFonts w:ascii="Arial" w:hAnsi="Arial" w:cs="Arial"/>
          <w:sz w:val="24"/>
          <w:szCs w:val="24"/>
        </w:rPr>
      </w:pPr>
      <w:r w:rsidRPr="00B7367B">
        <w:rPr>
          <w:rFonts w:ascii="Arial" w:hAnsi="Arial" w:cs="Arial"/>
          <w:sz w:val="24"/>
          <w:szCs w:val="24"/>
        </w:rPr>
        <w:t xml:space="preserve">Continue to promote </w:t>
      </w:r>
      <w:r>
        <w:rPr>
          <w:rFonts w:ascii="Arial" w:hAnsi="Arial" w:cs="Arial"/>
          <w:sz w:val="24"/>
          <w:szCs w:val="24"/>
        </w:rPr>
        <w:t xml:space="preserve">GP Clinical Lead and Place Lead </w:t>
      </w:r>
      <w:r w:rsidRPr="00B7367B">
        <w:rPr>
          <w:rFonts w:ascii="Arial" w:hAnsi="Arial" w:cs="Arial"/>
          <w:sz w:val="24"/>
          <w:szCs w:val="24"/>
        </w:rPr>
        <w:t>opportunities, should they arise, to all practicing clinicians</w:t>
      </w:r>
    </w:p>
    <w:p w14:paraId="598CD975" w14:textId="3FC81EEC" w:rsidR="003C43AC" w:rsidRPr="00B7367B" w:rsidRDefault="00B7367B" w:rsidP="00B7367B">
      <w:pPr>
        <w:pStyle w:val="ListParagraph"/>
        <w:numPr>
          <w:ilvl w:val="0"/>
          <w:numId w:val="5"/>
        </w:numPr>
        <w:spacing w:before="120" w:after="120" w:line="240" w:lineRule="auto"/>
        <w:ind w:left="357" w:hanging="357"/>
        <w:contextualSpacing w:val="0"/>
        <w:rPr>
          <w:rFonts w:ascii="Arial" w:hAnsi="Arial" w:cs="Arial"/>
          <w:sz w:val="24"/>
          <w:szCs w:val="24"/>
        </w:rPr>
      </w:pPr>
      <w:r w:rsidRPr="00B7367B">
        <w:rPr>
          <w:rFonts w:ascii="Arial" w:hAnsi="Arial" w:cs="Arial"/>
          <w:sz w:val="24"/>
          <w:szCs w:val="24"/>
        </w:rPr>
        <w:t xml:space="preserve">Supporting female members of staff in relation to management </w:t>
      </w:r>
      <w:r w:rsidR="00CE624C">
        <w:rPr>
          <w:rFonts w:ascii="Arial" w:hAnsi="Arial" w:cs="Arial"/>
          <w:sz w:val="24"/>
          <w:szCs w:val="24"/>
        </w:rPr>
        <w:t xml:space="preserve">and leadership </w:t>
      </w:r>
      <w:r w:rsidRPr="00B7367B">
        <w:rPr>
          <w:rFonts w:ascii="Arial" w:hAnsi="Arial" w:cs="Arial"/>
          <w:sz w:val="24"/>
          <w:szCs w:val="24"/>
        </w:rPr>
        <w:t>development opportunities.</w:t>
      </w:r>
    </w:p>
    <w:sectPr w:rsidR="003C43AC" w:rsidRPr="00B736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46E"/>
    <w:multiLevelType w:val="hybridMultilevel"/>
    <w:tmpl w:val="60FCFD72"/>
    <w:lvl w:ilvl="0" w:tplc="8D4AF9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540DD"/>
    <w:multiLevelType w:val="hybridMultilevel"/>
    <w:tmpl w:val="3732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7D4ADA"/>
    <w:multiLevelType w:val="hybridMultilevel"/>
    <w:tmpl w:val="A0460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7A5DB6"/>
    <w:multiLevelType w:val="hybridMultilevel"/>
    <w:tmpl w:val="A628BA46"/>
    <w:lvl w:ilvl="0" w:tplc="8D4AF9F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513B41"/>
    <w:multiLevelType w:val="hybridMultilevel"/>
    <w:tmpl w:val="C4D84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82026225">
    <w:abstractNumId w:val="1"/>
  </w:num>
  <w:num w:numId="2" w16cid:durableId="744034751">
    <w:abstractNumId w:val="0"/>
  </w:num>
  <w:num w:numId="3" w16cid:durableId="837162103">
    <w:abstractNumId w:val="3"/>
  </w:num>
  <w:num w:numId="4" w16cid:durableId="688064278">
    <w:abstractNumId w:val="2"/>
  </w:num>
  <w:num w:numId="5" w16cid:durableId="1504542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8F"/>
    <w:rsid w:val="00092ED7"/>
    <w:rsid w:val="00094B2A"/>
    <w:rsid w:val="000A3CB8"/>
    <w:rsid w:val="000B3A91"/>
    <w:rsid w:val="00146456"/>
    <w:rsid w:val="001E58E4"/>
    <w:rsid w:val="00230C1C"/>
    <w:rsid w:val="002410A2"/>
    <w:rsid w:val="002B56B7"/>
    <w:rsid w:val="002E24E8"/>
    <w:rsid w:val="002E40E3"/>
    <w:rsid w:val="00320F10"/>
    <w:rsid w:val="00392F7F"/>
    <w:rsid w:val="003C43AC"/>
    <w:rsid w:val="004211C6"/>
    <w:rsid w:val="004C2C95"/>
    <w:rsid w:val="004E48FB"/>
    <w:rsid w:val="004E683D"/>
    <w:rsid w:val="0050748D"/>
    <w:rsid w:val="00530D02"/>
    <w:rsid w:val="005328B2"/>
    <w:rsid w:val="00572EF9"/>
    <w:rsid w:val="005764B9"/>
    <w:rsid w:val="005802ED"/>
    <w:rsid w:val="005852FA"/>
    <w:rsid w:val="005974D9"/>
    <w:rsid w:val="005C7757"/>
    <w:rsid w:val="0060229A"/>
    <w:rsid w:val="00614895"/>
    <w:rsid w:val="006264B3"/>
    <w:rsid w:val="00663E30"/>
    <w:rsid w:val="00664C11"/>
    <w:rsid w:val="00685EEA"/>
    <w:rsid w:val="006B7CAD"/>
    <w:rsid w:val="0071188D"/>
    <w:rsid w:val="00741917"/>
    <w:rsid w:val="00744294"/>
    <w:rsid w:val="00752947"/>
    <w:rsid w:val="00760263"/>
    <w:rsid w:val="00781D53"/>
    <w:rsid w:val="007909A7"/>
    <w:rsid w:val="007B73BA"/>
    <w:rsid w:val="008028D8"/>
    <w:rsid w:val="0080619C"/>
    <w:rsid w:val="008167B2"/>
    <w:rsid w:val="00841A77"/>
    <w:rsid w:val="008443AE"/>
    <w:rsid w:val="008628AC"/>
    <w:rsid w:val="00872645"/>
    <w:rsid w:val="00887D4C"/>
    <w:rsid w:val="008A4BE9"/>
    <w:rsid w:val="008F5E8B"/>
    <w:rsid w:val="00A03E8F"/>
    <w:rsid w:val="00A057E4"/>
    <w:rsid w:val="00A64754"/>
    <w:rsid w:val="00AA15C0"/>
    <w:rsid w:val="00AA5FA0"/>
    <w:rsid w:val="00B23DE9"/>
    <w:rsid w:val="00B46291"/>
    <w:rsid w:val="00B7367B"/>
    <w:rsid w:val="00B9580F"/>
    <w:rsid w:val="00BB7642"/>
    <w:rsid w:val="00BF09DD"/>
    <w:rsid w:val="00BF7D37"/>
    <w:rsid w:val="00C34F91"/>
    <w:rsid w:val="00CA3C08"/>
    <w:rsid w:val="00CE624C"/>
    <w:rsid w:val="00D43A32"/>
    <w:rsid w:val="00D5642A"/>
    <w:rsid w:val="00DC3A91"/>
    <w:rsid w:val="00E402AC"/>
    <w:rsid w:val="00E700ED"/>
    <w:rsid w:val="00E83203"/>
    <w:rsid w:val="00EC46BE"/>
    <w:rsid w:val="00EC6BEF"/>
    <w:rsid w:val="00EE4585"/>
    <w:rsid w:val="00EE5C19"/>
    <w:rsid w:val="00F131B9"/>
    <w:rsid w:val="00F91532"/>
    <w:rsid w:val="00F926F8"/>
    <w:rsid w:val="00FA6DBD"/>
    <w:rsid w:val="00FF0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EDE6"/>
  <w15:docId w15:val="{879812CD-D080-43F6-84A7-A1F1DE7E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3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4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B2A"/>
    <w:rPr>
      <w:rFonts w:ascii="Tahoma" w:hAnsi="Tahoma" w:cs="Tahoma"/>
      <w:sz w:val="16"/>
      <w:szCs w:val="16"/>
    </w:rPr>
  </w:style>
  <w:style w:type="paragraph" w:customStyle="1" w:styleId="Default">
    <w:name w:val="Default"/>
    <w:rsid w:val="00E700ED"/>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3C43A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A64754"/>
    <w:rPr>
      <w:sz w:val="16"/>
      <w:szCs w:val="16"/>
    </w:rPr>
  </w:style>
  <w:style w:type="paragraph" w:styleId="CommentText">
    <w:name w:val="annotation text"/>
    <w:basedOn w:val="Normal"/>
    <w:link w:val="CommentTextChar"/>
    <w:uiPriority w:val="99"/>
    <w:semiHidden/>
    <w:unhideWhenUsed/>
    <w:rsid w:val="00A64754"/>
    <w:pPr>
      <w:spacing w:line="240" w:lineRule="auto"/>
    </w:pPr>
    <w:rPr>
      <w:sz w:val="20"/>
      <w:szCs w:val="20"/>
    </w:rPr>
  </w:style>
  <w:style w:type="character" w:customStyle="1" w:styleId="CommentTextChar">
    <w:name w:val="Comment Text Char"/>
    <w:basedOn w:val="DefaultParagraphFont"/>
    <w:link w:val="CommentText"/>
    <w:uiPriority w:val="99"/>
    <w:semiHidden/>
    <w:rsid w:val="00A64754"/>
    <w:rPr>
      <w:sz w:val="20"/>
      <w:szCs w:val="20"/>
    </w:rPr>
  </w:style>
  <w:style w:type="paragraph" w:styleId="CommentSubject">
    <w:name w:val="annotation subject"/>
    <w:basedOn w:val="CommentText"/>
    <w:next w:val="CommentText"/>
    <w:link w:val="CommentSubjectChar"/>
    <w:uiPriority w:val="99"/>
    <w:semiHidden/>
    <w:unhideWhenUsed/>
    <w:rsid w:val="00A64754"/>
    <w:rPr>
      <w:b/>
      <w:bCs/>
    </w:rPr>
  </w:style>
  <w:style w:type="character" w:customStyle="1" w:styleId="CommentSubjectChar">
    <w:name w:val="Comment Subject Char"/>
    <w:basedOn w:val="CommentTextChar"/>
    <w:link w:val="CommentSubject"/>
    <w:uiPriority w:val="99"/>
    <w:semiHidden/>
    <w:rsid w:val="00A64754"/>
    <w:rPr>
      <w:b/>
      <w:bCs/>
      <w:sz w:val="20"/>
      <w:szCs w:val="20"/>
    </w:rPr>
  </w:style>
  <w:style w:type="paragraph" w:styleId="ListParagraph">
    <w:name w:val="List Paragraph"/>
    <w:basedOn w:val="Normal"/>
    <w:uiPriority w:val="34"/>
    <w:qFormat/>
    <w:rsid w:val="002B56B7"/>
    <w:pPr>
      <w:ind w:left="720"/>
      <w:contextualSpacing/>
    </w:pPr>
  </w:style>
  <w:style w:type="table" w:styleId="TableGrid">
    <w:name w:val="Table Grid"/>
    <w:basedOn w:val="TableNormal"/>
    <w:uiPriority w:val="59"/>
    <w:rsid w:val="00AA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B7CAD"/>
    <w:pPr>
      <w:outlineLvl w:val="9"/>
    </w:pPr>
    <w:rPr>
      <w:lang w:val="en-US" w:eastAsia="ja-JP"/>
    </w:rPr>
  </w:style>
  <w:style w:type="paragraph" w:styleId="TOC1">
    <w:name w:val="toc 1"/>
    <w:basedOn w:val="Normal"/>
    <w:next w:val="Normal"/>
    <w:autoRedefine/>
    <w:uiPriority w:val="39"/>
    <w:unhideWhenUsed/>
    <w:rsid w:val="006B7CAD"/>
    <w:pPr>
      <w:spacing w:after="100"/>
    </w:pPr>
  </w:style>
  <w:style w:type="character" w:styleId="Hyperlink">
    <w:name w:val="Hyperlink"/>
    <w:basedOn w:val="DefaultParagraphFont"/>
    <w:uiPriority w:val="99"/>
    <w:unhideWhenUsed/>
    <w:rsid w:val="006B7C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93715">
      <w:bodyDiv w:val="1"/>
      <w:marLeft w:val="0"/>
      <w:marRight w:val="0"/>
      <w:marTop w:val="0"/>
      <w:marBottom w:val="0"/>
      <w:divBdr>
        <w:top w:val="none" w:sz="0" w:space="0" w:color="auto"/>
        <w:left w:val="none" w:sz="0" w:space="0" w:color="auto"/>
        <w:bottom w:val="none" w:sz="0" w:space="0" w:color="auto"/>
        <w:right w:val="none" w:sz="0" w:space="0" w:color="auto"/>
      </w:divBdr>
    </w:div>
    <w:div w:id="1050225344">
      <w:bodyDiv w:val="1"/>
      <w:marLeft w:val="0"/>
      <w:marRight w:val="0"/>
      <w:marTop w:val="0"/>
      <w:marBottom w:val="0"/>
      <w:divBdr>
        <w:top w:val="none" w:sz="0" w:space="0" w:color="auto"/>
        <w:left w:val="none" w:sz="0" w:space="0" w:color="auto"/>
        <w:bottom w:val="none" w:sz="0" w:space="0" w:color="auto"/>
        <w:right w:val="none" w:sz="0" w:space="0" w:color="auto"/>
      </w:divBdr>
      <w:divsChild>
        <w:div w:id="1013190782">
          <w:marLeft w:val="0"/>
          <w:marRight w:val="0"/>
          <w:marTop w:val="100"/>
          <w:marBottom w:val="100"/>
          <w:divBdr>
            <w:top w:val="none" w:sz="0" w:space="0" w:color="auto"/>
            <w:left w:val="none" w:sz="0" w:space="0" w:color="auto"/>
            <w:bottom w:val="none" w:sz="0" w:space="0" w:color="auto"/>
            <w:right w:val="none" w:sz="0" w:space="0" w:color="auto"/>
          </w:divBdr>
          <w:divsChild>
            <w:div w:id="1649700103">
              <w:marLeft w:val="0"/>
              <w:marRight w:val="0"/>
              <w:marTop w:val="0"/>
              <w:marBottom w:val="0"/>
              <w:divBdr>
                <w:top w:val="none" w:sz="0" w:space="0" w:color="auto"/>
                <w:left w:val="none" w:sz="0" w:space="0" w:color="auto"/>
                <w:bottom w:val="none" w:sz="0" w:space="0" w:color="auto"/>
                <w:right w:val="none" w:sz="0" w:space="0" w:color="auto"/>
              </w:divBdr>
              <w:divsChild>
                <w:div w:id="1006639145">
                  <w:marLeft w:val="0"/>
                  <w:marRight w:val="0"/>
                  <w:marTop w:val="0"/>
                  <w:marBottom w:val="0"/>
                  <w:divBdr>
                    <w:top w:val="none" w:sz="0" w:space="0" w:color="auto"/>
                    <w:left w:val="none" w:sz="0" w:space="0" w:color="auto"/>
                    <w:bottom w:val="none" w:sz="0" w:space="0" w:color="auto"/>
                    <w:right w:val="none" w:sz="0" w:space="0" w:color="auto"/>
                  </w:divBdr>
                  <w:divsChild>
                    <w:div w:id="1739550496">
                      <w:marLeft w:val="0"/>
                      <w:marRight w:val="0"/>
                      <w:marTop w:val="0"/>
                      <w:marBottom w:val="0"/>
                      <w:divBdr>
                        <w:top w:val="none" w:sz="0" w:space="0" w:color="auto"/>
                        <w:left w:val="none" w:sz="0" w:space="0" w:color="auto"/>
                        <w:bottom w:val="none" w:sz="0" w:space="0" w:color="auto"/>
                        <w:right w:val="none" w:sz="0" w:space="0" w:color="auto"/>
                      </w:divBdr>
                      <w:divsChild>
                        <w:div w:id="671764198">
                          <w:marLeft w:val="0"/>
                          <w:marRight w:val="0"/>
                          <w:marTop w:val="0"/>
                          <w:marBottom w:val="0"/>
                          <w:divBdr>
                            <w:top w:val="none" w:sz="0" w:space="0" w:color="auto"/>
                            <w:left w:val="none" w:sz="0" w:space="0" w:color="auto"/>
                            <w:bottom w:val="none" w:sz="0" w:space="0" w:color="auto"/>
                            <w:right w:val="none" w:sz="0" w:space="0" w:color="auto"/>
                          </w:divBdr>
                          <w:divsChild>
                            <w:div w:id="232198510">
                              <w:marLeft w:val="0"/>
                              <w:marRight w:val="0"/>
                              <w:marTop w:val="0"/>
                              <w:marBottom w:val="0"/>
                              <w:divBdr>
                                <w:top w:val="none" w:sz="0" w:space="0" w:color="auto"/>
                                <w:left w:val="none" w:sz="0" w:space="0" w:color="auto"/>
                                <w:bottom w:val="none" w:sz="0" w:space="0" w:color="auto"/>
                                <w:right w:val="none" w:sz="0" w:space="0" w:color="auto"/>
                              </w:divBdr>
                              <w:divsChild>
                                <w:div w:id="1139690979">
                                  <w:marLeft w:val="0"/>
                                  <w:marRight w:val="0"/>
                                  <w:marTop w:val="0"/>
                                  <w:marBottom w:val="0"/>
                                  <w:divBdr>
                                    <w:top w:val="none" w:sz="0" w:space="0" w:color="auto"/>
                                    <w:left w:val="none" w:sz="0" w:space="0" w:color="auto"/>
                                    <w:bottom w:val="none" w:sz="0" w:space="0" w:color="auto"/>
                                    <w:right w:val="none" w:sz="0" w:space="0" w:color="auto"/>
                                  </w:divBdr>
                                  <w:divsChild>
                                    <w:div w:id="902714035">
                                      <w:marLeft w:val="0"/>
                                      <w:marRight w:val="0"/>
                                      <w:marTop w:val="0"/>
                                      <w:marBottom w:val="0"/>
                                      <w:divBdr>
                                        <w:top w:val="none" w:sz="0" w:space="0" w:color="auto"/>
                                        <w:left w:val="none" w:sz="0" w:space="0" w:color="auto"/>
                                        <w:bottom w:val="none" w:sz="0" w:space="0" w:color="auto"/>
                                        <w:right w:val="none" w:sz="0" w:space="0" w:color="auto"/>
                                      </w:divBdr>
                                      <w:divsChild>
                                        <w:div w:id="338432349">
                                          <w:marLeft w:val="0"/>
                                          <w:marRight w:val="0"/>
                                          <w:marTop w:val="0"/>
                                          <w:marBottom w:val="0"/>
                                          <w:divBdr>
                                            <w:top w:val="none" w:sz="0" w:space="0" w:color="auto"/>
                                            <w:left w:val="none" w:sz="0" w:space="0" w:color="auto"/>
                                            <w:bottom w:val="none" w:sz="0" w:space="0" w:color="auto"/>
                                            <w:right w:val="none" w:sz="0" w:space="0" w:color="auto"/>
                                          </w:divBdr>
                                          <w:divsChild>
                                            <w:div w:id="549537297">
                                              <w:marLeft w:val="0"/>
                                              <w:marRight w:val="0"/>
                                              <w:marTop w:val="0"/>
                                              <w:marBottom w:val="0"/>
                                              <w:divBdr>
                                                <w:top w:val="none" w:sz="0" w:space="0" w:color="auto"/>
                                                <w:left w:val="none" w:sz="0" w:space="0" w:color="auto"/>
                                                <w:bottom w:val="none" w:sz="0" w:space="0" w:color="auto"/>
                                                <w:right w:val="none" w:sz="0" w:space="0" w:color="auto"/>
                                              </w:divBdr>
                                              <w:divsChild>
                                                <w:div w:id="1550648778">
                                                  <w:marLeft w:val="0"/>
                                                  <w:marRight w:val="0"/>
                                                  <w:marTop w:val="0"/>
                                                  <w:marBottom w:val="0"/>
                                                  <w:divBdr>
                                                    <w:top w:val="none" w:sz="0" w:space="0" w:color="auto"/>
                                                    <w:left w:val="none" w:sz="0" w:space="0" w:color="auto"/>
                                                    <w:bottom w:val="none" w:sz="0" w:space="0" w:color="auto"/>
                                                    <w:right w:val="none" w:sz="0" w:space="0" w:color="auto"/>
                                                  </w:divBdr>
                                                  <w:divsChild>
                                                    <w:div w:id="12836140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953698">
      <w:bodyDiv w:val="1"/>
      <w:marLeft w:val="0"/>
      <w:marRight w:val="0"/>
      <w:marTop w:val="0"/>
      <w:marBottom w:val="0"/>
      <w:divBdr>
        <w:top w:val="none" w:sz="0" w:space="0" w:color="auto"/>
        <w:left w:val="none" w:sz="0" w:space="0" w:color="auto"/>
        <w:bottom w:val="none" w:sz="0" w:space="0" w:color="auto"/>
        <w:right w:val="none" w:sz="0" w:space="0" w:color="auto"/>
      </w:divBdr>
      <w:divsChild>
        <w:div w:id="1765954541">
          <w:marLeft w:val="0"/>
          <w:marRight w:val="0"/>
          <w:marTop w:val="100"/>
          <w:marBottom w:val="100"/>
          <w:divBdr>
            <w:top w:val="none" w:sz="0" w:space="0" w:color="auto"/>
            <w:left w:val="none" w:sz="0" w:space="0" w:color="auto"/>
            <w:bottom w:val="none" w:sz="0" w:space="0" w:color="auto"/>
            <w:right w:val="none" w:sz="0" w:space="0" w:color="auto"/>
          </w:divBdr>
          <w:divsChild>
            <w:div w:id="1716615976">
              <w:marLeft w:val="0"/>
              <w:marRight w:val="0"/>
              <w:marTop w:val="0"/>
              <w:marBottom w:val="0"/>
              <w:divBdr>
                <w:top w:val="none" w:sz="0" w:space="0" w:color="auto"/>
                <w:left w:val="none" w:sz="0" w:space="0" w:color="auto"/>
                <w:bottom w:val="none" w:sz="0" w:space="0" w:color="auto"/>
                <w:right w:val="none" w:sz="0" w:space="0" w:color="auto"/>
              </w:divBdr>
              <w:divsChild>
                <w:div w:id="666709038">
                  <w:marLeft w:val="0"/>
                  <w:marRight w:val="0"/>
                  <w:marTop w:val="0"/>
                  <w:marBottom w:val="0"/>
                  <w:divBdr>
                    <w:top w:val="none" w:sz="0" w:space="0" w:color="auto"/>
                    <w:left w:val="none" w:sz="0" w:space="0" w:color="auto"/>
                    <w:bottom w:val="none" w:sz="0" w:space="0" w:color="auto"/>
                    <w:right w:val="none" w:sz="0" w:space="0" w:color="auto"/>
                  </w:divBdr>
                  <w:divsChild>
                    <w:div w:id="1664166572">
                      <w:marLeft w:val="0"/>
                      <w:marRight w:val="0"/>
                      <w:marTop w:val="0"/>
                      <w:marBottom w:val="0"/>
                      <w:divBdr>
                        <w:top w:val="none" w:sz="0" w:space="0" w:color="auto"/>
                        <w:left w:val="none" w:sz="0" w:space="0" w:color="auto"/>
                        <w:bottom w:val="none" w:sz="0" w:space="0" w:color="auto"/>
                        <w:right w:val="none" w:sz="0" w:space="0" w:color="auto"/>
                      </w:divBdr>
                      <w:divsChild>
                        <w:div w:id="1200438409">
                          <w:marLeft w:val="0"/>
                          <w:marRight w:val="0"/>
                          <w:marTop w:val="0"/>
                          <w:marBottom w:val="0"/>
                          <w:divBdr>
                            <w:top w:val="none" w:sz="0" w:space="0" w:color="auto"/>
                            <w:left w:val="none" w:sz="0" w:space="0" w:color="auto"/>
                            <w:bottom w:val="none" w:sz="0" w:space="0" w:color="auto"/>
                            <w:right w:val="none" w:sz="0" w:space="0" w:color="auto"/>
                          </w:divBdr>
                          <w:divsChild>
                            <w:div w:id="1111314900">
                              <w:marLeft w:val="0"/>
                              <w:marRight w:val="0"/>
                              <w:marTop w:val="0"/>
                              <w:marBottom w:val="0"/>
                              <w:divBdr>
                                <w:top w:val="none" w:sz="0" w:space="0" w:color="auto"/>
                                <w:left w:val="none" w:sz="0" w:space="0" w:color="auto"/>
                                <w:bottom w:val="none" w:sz="0" w:space="0" w:color="auto"/>
                                <w:right w:val="none" w:sz="0" w:space="0" w:color="auto"/>
                              </w:divBdr>
                              <w:divsChild>
                                <w:div w:id="306477476">
                                  <w:marLeft w:val="0"/>
                                  <w:marRight w:val="0"/>
                                  <w:marTop w:val="0"/>
                                  <w:marBottom w:val="0"/>
                                  <w:divBdr>
                                    <w:top w:val="none" w:sz="0" w:space="0" w:color="auto"/>
                                    <w:left w:val="none" w:sz="0" w:space="0" w:color="auto"/>
                                    <w:bottom w:val="none" w:sz="0" w:space="0" w:color="auto"/>
                                    <w:right w:val="none" w:sz="0" w:space="0" w:color="auto"/>
                                  </w:divBdr>
                                  <w:divsChild>
                                    <w:div w:id="778450134">
                                      <w:marLeft w:val="0"/>
                                      <w:marRight w:val="0"/>
                                      <w:marTop w:val="0"/>
                                      <w:marBottom w:val="0"/>
                                      <w:divBdr>
                                        <w:top w:val="none" w:sz="0" w:space="0" w:color="auto"/>
                                        <w:left w:val="none" w:sz="0" w:space="0" w:color="auto"/>
                                        <w:bottom w:val="none" w:sz="0" w:space="0" w:color="auto"/>
                                        <w:right w:val="none" w:sz="0" w:space="0" w:color="auto"/>
                                      </w:divBdr>
                                      <w:divsChild>
                                        <w:div w:id="1498232070">
                                          <w:marLeft w:val="0"/>
                                          <w:marRight w:val="0"/>
                                          <w:marTop w:val="0"/>
                                          <w:marBottom w:val="0"/>
                                          <w:divBdr>
                                            <w:top w:val="none" w:sz="0" w:space="0" w:color="auto"/>
                                            <w:left w:val="none" w:sz="0" w:space="0" w:color="auto"/>
                                            <w:bottom w:val="none" w:sz="0" w:space="0" w:color="auto"/>
                                            <w:right w:val="none" w:sz="0" w:space="0" w:color="auto"/>
                                          </w:divBdr>
                                          <w:divsChild>
                                            <w:div w:id="190850396">
                                              <w:marLeft w:val="0"/>
                                              <w:marRight w:val="0"/>
                                              <w:marTop w:val="0"/>
                                              <w:marBottom w:val="0"/>
                                              <w:divBdr>
                                                <w:top w:val="none" w:sz="0" w:space="0" w:color="auto"/>
                                                <w:left w:val="none" w:sz="0" w:space="0" w:color="auto"/>
                                                <w:bottom w:val="none" w:sz="0" w:space="0" w:color="auto"/>
                                                <w:right w:val="none" w:sz="0" w:space="0" w:color="auto"/>
                                              </w:divBdr>
                                              <w:divsChild>
                                                <w:div w:id="875511179">
                                                  <w:marLeft w:val="0"/>
                                                  <w:marRight w:val="0"/>
                                                  <w:marTop w:val="0"/>
                                                  <w:marBottom w:val="0"/>
                                                  <w:divBdr>
                                                    <w:top w:val="none" w:sz="0" w:space="0" w:color="auto"/>
                                                    <w:left w:val="none" w:sz="0" w:space="0" w:color="auto"/>
                                                    <w:bottom w:val="none" w:sz="0" w:space="0" w:color="auto"/>
                                                    <w:right w:val="none" w:sz="0" w:space="0" w:color="auto"/>
                                                  </w:divBdr>
                                                  <w:divsChild>
                                                    <w:div w:id="4029939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16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DC-SYS-FIL-C011.systems.informatix.loc\DCC\Corporate\Human%20Resources\NHS%20DDCCG\Equality%20and%20Diversity\2023\Gender%20Pay%20Gap\NHS%20Diversity%20Detail%203103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C-SYS-FIL-C011.systems.informatix.loc\DCC\Corporate\Human%20Resources\NHS%20DDCCG\Equality%20and%20Diversity\2025\2025-03-31%20-%20ICB%20Employee%20Diversity%20Detai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Combined Gender Profile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01-4506-48D2-99E9-D51E051E7117}"/>
              </c:ext>
            </c:extLst>
          </c:dPt>
          <c:dPt>
            <c:idx val="1"/>
            <c:bubble3D val="0"/>
            <c:spPr>
              <a:solidFill>
                <a:schemeClr val="accent1">
                  <a:tint val="77000"/>
                </a:schemeClr>
              </a:solidFill>
              <a:ln w="19050">
                <a:solidFill>
                  <a:schemeClr val="lt1"/>
                </a:solidFill>
              </a:ln>
              <a:effectLst/>
            </c:spPr>
            <c:extLst>
              <c:ext xmlns:c16="http://schemas.microsoft.com/office/drawing/2014/chart" uri="{C3380CC4-5D6E-409C-BE32-E72D297353CC}">
                <c16:uniqueId val="{00000003-4506-48D2-99E9-D51E051E7117}"/>
              </c:ext>
            </c:extLst>
          </c:dPt>
          <c:dLbls>
            <c:dLbl>
              <c:idx val="0"/>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506-48D2-99E9-D51E051E7117}"/>
                </c:ext>
              </c:extLst>
            </c:dLbl>
            <c:dLbl>
              <c:idx val="1"/>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506-48D2-99E9-D51E051E71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'Gender Profile'!$B$2:$C$2</c:f>
              <c:strCache>
                <c:ptCount val="2"/>
                <c:pt idx="0">
                  <c:v>Male</c:v>
                </c:pt>
                <c:pt idx="1">
                  <c:v>Female</c:v>
                </c:pt>
              </c:strCache>
            </c:strRef>
          </c:cat>
          <c:val>
            <c:numRef>
              <c:f>'Gender Profile'!$B$4:$C$4</c:f>
              <c:numCache>
                <c:formatCode>0%</c:formatCode>
                <c:ptCount val="2"/>
                <c:pt idx="0">
                  <c:v>0.17077464788732394</c:v>
                </c:pt>
                <c:pt idx="1">
                  <c:v>0.82922535211267601</c:v>
                </c:pt>
              </c:numCache>
            </c:numRef>
          </c:val>
          <c:extLst>
            <c:ext xmlns:c16="http://schemas.microsoft.com/office/drawing/2014/chart" uri="{C3380CC4-5D6E-409C-BE32-E72D297353CC}">
              <c16:uniqueId val="{00000004-4506-48D2-99E9-D51E051E7117}"/>
            </c:ext>
          </c:extLst>
        </c:ser>
        <c:dLbls>
          <c:showLegendKey val="0"/>
          <c:showVal val="0"/>
          <c:showCatName val="0"/>
          <c:showSerName val="0"/>
          <c:showPercent val="0"/>
          <c:showBubbleSize val="0"/>
          <c:showLeaderLines val="1"/>
        </c:dLbls>
        <c:firstSliceAng val="0"/>
        <c:holeSize val="63"/>
      </c:doughnutChart>
      <c:spPr>
        <a:noFill/>
        <a:ln>
          <a:noFill/>
        </a:ln>
        <a:effectLst/>
      </c:spPr>
    </c:plotArea>
    <c:legend>
      <c:legendPos val="b"/>
      <c:layout>
        <c:manualLayout>
          <c:xMode val="edge"/>
          <c:yMode val="edge"/>
          <c:x val="0.79447244094488201"/>
          <c:y val="0.38020778652668419"/>
          <c:w val="0.12494400699912508"/>
          <c:h val="0.2077551764362788"/>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stacked"/>
        <c:varyColors val="0"/>
        <c:ser>
          <c:idx val="0"/>
          <c:order val="0"/>
          <c:tx>
            <c:strRef>
              <c:f>Gender!$B$28</c:f>
              <c:strCache>
                <c:ptCount val="1"/>
                <c:pt idx="0">
                  <c:v>Female </c:v>
                </c:pt>
              </c:strCache>
            </c:strRef>
          </c:tx>
          <c:spPr>
            <a:solidFill>
              <a:schemeClr val="accent1">
                <a:shade val="76000"/>
              </a:schemeClr>
            </a:solidFill>
            <a:ln>
              <a:noFill/>
            </a:ln>
            <a:effectLst/>
          </c:spPr>
          <c:invertIfNegative val="0"/>
          <c:cat>
            <c:strRef>
              <c:f>Gender!$A$29:$A$38</c:f>
              <c:strCache>
                <c:ptCount val="10"/>
                <c:pt idx="0">
                  <c:v>VSM</c:v>
                </c:pt>
                <c:pt idx="1">
                  <c:v>Band 8d</c:v>
                </c:pt>
                <c:pt idx="2">
                  <c:v>Band 8c</c:v>
                </c:pt>
                <c:pt idx="3">
                  <c:v>Band 8b</c:v>
                </c:pt>
                <c:pt idx="4">
                  <c:v>Band 8a</c:v>
                </c:pt>
                <c:pt idx="5">
                  <c:v>Band 7</c:v>
                </c:pt>
                <c:pt idx="6">
                  <c:v>Band 6</c:v>
                </c:pt>
                <c:pt idx="7">
                  <c:v>Band 5</c:v>
                </c:pt>
                <c:pt idx="8">
                  <c:v>Band 4</c:v>
                </c:pt>
                <c:pt idx="9">
                  <c:v>Band 3</c:v>
                </c:pt>
              </c:strCache>
            </c:strRef>
          </c:cat>
          <c:val>
            <c:numRef>
              <c:f>Gender!$B$29:$B$38</c:f>
              <c:numCache>
                <c:formatCode>0.00%</c:formatCode>
                <c:ptCount val="10"/>
                <c:pt idx="0">
                  <c:v>0.5</c:v>
                </c:pt>
                <c:pt idx="1">
                  <c:v>0.5</c:v>
                </c:pt>
                <c:pt idx="2">
                  <c:v>0.79166666666666663</c:v>
                </c:pt>
                <c:pt idx="3">
                  <c:v>0.72727272727272729</c:v>
                </c:pt>
                <c:pt idx="4">
                  <c:v>0.7567567567567568</c:v>
                </c:pt>
                <c:pt idx="5">
                  <c:v>0.8571428571428571</c:v>
                </c:pt>
                <c:pt idx="6">
                  <c:v>0.80487804878048785</c:v>
                </c:pt>
                <c:pt idx="7">
                  <c:v>0.84126984126984128</c:v>
                </c:pt>
                <c:pt idx="8">
                  <c:v>0.96153846153846156</c:v>
                </c:pt>
                <c:pt idx="9">
                  <c:v>0.9452054794520548</c:v>
                </c:pt>
              </c:numCache>
            </c:numRef>
          </c:val>
          <c:extLst>
            <c:ext xmlns:c16="http://schemas.microsoft.com/office/drawing/2014/chart" uri="{C3380CC4-5D6E-409C-BE32-E72D297353CC}">
              <c16:uniqueId val="{00000000-5D67-4464-81A4-D57AB1A4695F}"/>
            </c:ext>
          </c:extLst>
        </c:ser>
        <c:ser>
          <c:idx val="1"/>
          <c:order val="1"/>
          <c:tx>
            <c:strRef>
              <c:f>Gender!$C$28</c:f>
              <c:strCache>
                <c:ptCount val="1"/>
                <c:pt idx="0">
                  <c:v>Male </c:v>
                </c:pt>
              </c:strCache>
            </c:strRef>
          </c:tx>
          <c:spPr>
            <a:solidFill>
              <a:schemeClr val="accent1">
                <a:tint val="77000"/>
              </a:schemeClr>
            </a:solidFill>
            <a:ln>
              <a:noFill/>
            </a:ln>
            <a:effectLst/>
          </c:spPr>
          <c:invertIfNegative val="0"/>
          <c:cat>
            <c:strRef>
              <c:f>Gender!$A$29:$A$38</c:f>
              <c:strCache>
                <c:ptCount val="10"/>
                <c:pt idx="0">
                  <c:v>VSM</c:v>
                </c:pt>
                <c:pt idx="1">
                  <c:v>Band 8d</c:v>
                </c:pt>
                <c:pt idx="2">
                  <c:v>Band 8c</c:v>
                </c:pt>
                <c:pt idx="3">
                  <c:v>Band 8b</c:v>
                </c:pt>
                <c:pt idx="4">
                  <c:v>Band 8a</c:v>
                </c:pt>
                <c:pt idx="5">
                  <c:v>Band 7</c:v>
                </c:pt>
                <c:pt idx="6">
                  <c:v>Band 6</c:v>
                </c:pt>
                <c:pt idx="7">
                  <c:v>Band 5</c:v>
                </c:pt>
                <c:pt idx="8">
                  <c:v>Band 4</c:v>
                </c:pt>
                <c:pt idx="9">
                  <c:v>Band 3</c:v>
                </c:pt>
              </c:strCache>
            </c:strRef>
          </c:cat>
          <c:val>
            <c:numRef>
              <c:f>Gender!$C$29:$C$38</c:f>
              <c:numCache>
                <c:formatCode>0.00%</c:formatCode>
                <c:ptCount val="10"/>
                <c:pt idx="0">
                  <c:v>0.5</c:v>
                </c:pt>
                <c:pt idx="1">
                  <c:v>0.5</c:v>
                </c:pt>
                <c:pt idx="2">
                  <c:v>0.20833333333333334</c:v>
                </c:pt>
                <c:pt idx="3">
                  <c:v>0.27272727272727271</c:v>
                </c:pt>
                <c:pt idx="4">
                  <c:v>0.24324324324324326</c:v>
                </c:pt>
                <c:pt idx="5">
                  <c:v>0.14285714285714285</c:v>
                </c:pt>
                <c:pt idx="6">
                  <c:v>0.1951219512195122</c:v>
                </c:pt>
                <c:pt idx="7">
                  <c:v>0.15873015873015872</c:v>
                </c:pt>
                <c:pt idx="8">
                  <c:v>3.8461538461538464E-2</c:v>
                </c:pt>
                <c:pt idx="9">
                  <c:v>5.4794520547945202E-2</c:v>
                </c:pt>
              </c:numCache>
            </c:numRef>
          </c:val>
          <c:extLst>
            <c:ext xmlns:c16="http://schemas.microsoft.com/office/drawing/2014/chart" uri="{C3380CC4-5D6E-409C-BE32-E72D297353CC}">
              <c16:uniqueId val="{00000001-5D67-4464-81A4-D57AB1A4695F}"/>
            </c:ext>
          </c:extLst>
        </c:ser>
        <c:dLbls>
          <c:showLegendKey val="0"/>
          <c:showVal val="0"/>
          <c:showCatName val="0"/>
          <c:showSerName val="0"/>
          <c:showPercent val="0"/>
          <c:showBubbleSize val="0"/>
        </c:dLbls>
        <c:gapWidth val="150"/>
        <c:overlap val="100"/>
        <c:axId val="1548827967"/>
        <c:axId val="1548839487"/>
      </c:barChart>
      <c:catAx>
        <c:axId val="1548827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8839487"/>
        <c:crosses val="autoZero"/>
        <c:auto val="1"/>
        <c:lblAlgn val="ctr"/>
        <c:lblOffset val="100"/>
        <c:noMultiLvlLbl val="0"/>
      </c:catAx>
      <c:valAx>
        <c:axId val="154883948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88279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699D8-B4B9-47FD-9836-681F0AE7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dc:creator>
  <cp:lastModifiedBy>James Lunn</cp:lastModifiedBy>
  <cp:revision>2</cp:revision>
  <dcterms:created xsi:type="dcterms:W3CDTF">2025-09-29T17:47:00Z</dcterms:created>
  <dcterms:modified xsi:type="dcterms:W3CDTF">2025-09-29T17:47:00Z</dcterms:modified>
</cp:coreProperties>
</file>