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4648" w14:textId="77777777" w:rsidR="003F42BF" w:rsidRDefault="003F42BF" w:rsidP="00C56CF9">
      <w:pPr>
        <w:pStyle w:val="AppendicesHeading"/>
      </w:pPr>
    </w:p>
    <w:p w14:paraId="32AF36F0" w14:textId="77777777" w:rsidR="00010027" w:rsidRPr="003F42BF" w:rsidRDefault="00010027" w:rsidP="00223A90">
      <w:pPr>
        <w:pStyle w:val="PoliciesHeading1"/>
        <w:numPr>
          <w:ilvl w:val="0"/>
          <w:numId w:val="0"/>
        </w:numPr>
        <w:ind w:left="567" w:hanging="567"/>
      </w:pPr>
    </w:p>
    <w:p w14:paraId="06DB558E" w14:textId="11C4E341" w:rsidR="00F3796B" w:rsidRPr="00DC6860" w:rsidRDefault="004C7F76" w:rsidP="00704F7D">
      <w:pPr>
        <w:spacing w:line="240" w:lineRule="auto"/>
        <w:jc w:val="center"/>
        <w:rPr>
          <w:rFonts w:eastAsia="Times New Roman" w:cs="Arial"/>
          <w:b/>
          <w:color w:val="365F91" w:themeColor="accent1" w:themeShade="BF"/>
          <w:sz w:val="56"/>
          <w:szCs w:val="56"/>
        </w:rPr>
      </w:pPr>
      <w:r w:rsidRPr="004C7F76">
        <w:rPr>
          <w:rFonts w:eastAsia="Times New Roman" w:cs="Arial"/>
          <w:b/>
          <w:color w:val="365F91" w:themeColor="accent1" w:themeShade="BF"/>
          <w:sz w:val="56"/>
          <w:szCs w:val="56"/>
        </w:rPr>
        <w:t xml:space="preserve">NHS Derby and Derbyshire </w:t>
      </w:r>
      <w:r w:rsidR="00610322">
        <w:rPr>
          <w:rFonts w:eastAsia="Times New Roman" w:cs="Arial"/>
          <w:b/>
          <w:color w:val="365F91" w:themeColor="accent1" w:themeShade="BF"/>
          <w:sz w:val="56"/>
          <w:szCs w:val="56"/>
        </w:rPr>
        <w:t>Integrated Care Board</w:t>
      </w:r>
    </w:p>
    <w:p w14:paraId="276DDD30" w14:textId="77777777" w:rsidR="00F3796B" w:rsidRPr="00DC6860" w:rsidRDefault="00F3796B" w:rsidP="00704F7D">
      <w:pPr>
        <w:spacing w:line="240" w:lineRule="auto"/>
        <w:jc w:val="center"/>
        <w:rPr>
          <w:rFonts w:eastAsia="Times New Roman" w:cs="Arial"/>
          <w:b/>
          <w:color w:val="365F91" w:themeColor="accent1" w:themeShade="BF"/>
          <w:sz w:val="56"/>
          <w:szCs w:val="56"/>
        </w:rPr>
      </w:pPr>
    </w:p>
    <w:p w14:paraId="3CCB418C" w14:textId="587D1798" w:rsidR="004C7F76" w:rsidRPr="00DC6860" w:rsidRDefault="004C1B91" w:rsidP="00C71FDA">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Ethical Framework for Decision</w:t>
      </w:r>
      <w:r>
        <w:rPr>
          <w:rFonts w:eastAsia="Times New Roman" w:cs="Arial"/>
          <w:b/>
          <w:color w:val="365F91" w:themeColor="accent1" w:themeShade="BF"/>
          <w:sz w:val="56"/>
          <w:szCs w:val="56"/>
        </w:rPr>
        <w:noBreakHyphen/>
        <w:t>Making</w:t>
      </w:r>
    </w:p>
    <w:p w14:paraId="5C9E59CB" w14:textId="77777777" w:rsidR="00F3796B" w:rsidRDefault="00F3796B" w:rsidP="00704F7D">
      <w:pPr>
        <w:spacing w:line="240" w:lineRule="auto"/>
        <w:jc w:val="center"/>
        <w:rPr>
          <w:rFonts w:eastAsia="Times New Roman" w:cs="Arial"/>
          <w:b/>
          <w:szCs w:val="20"/>
        </w:rPr>
      </w:pPr>
    </w:p>
    <w:p w14:paraId="71FC064B" w14:textId="77777777" w:rsidR="00290B0E" w:rsidRDefault="00290B0E" w:rsidP="00704F7D">
      <w:pPr>
        <w:spacing w:line="240" w:lineRule="auto"/>
        <w:jc w:val="center"/>
        <w:rPr>
          <w:rFonts w:eastAsia="Times New Roman" w:cs="Arial"/>
          <w:b/>
          <w:szCs w:val="20"/>
        </w:rPr>
      </w:pPr>
    </w:p>
    <w:p w14:paraId="6C8A5B69" w14:textId="77777777" w:rsidR="00290B0E" w:rsidRDefault="00290B0E" w:rsidP="00704F7D">
      <w:pPr>
        <w:spacing w:line="240" w:lineRule="auto"/>
        <w:jc w:val="center"/>
        <w:rPr>
          <w:rFonts w:eastAsia="Times New Roman" w:cs="Arial"/>
          <w:b/>
          <w:szCs w:val="20"/>
        </w:rPr>
      </w:pPr>
    </w:p>
    <w:p w14:paraId="12E1C834" w14:textId="77777777" w:rsidR="00C56CF9" w:rsidRDefault="00C56CF9" w:rsidP="00704F7D">
      <w:pPr>
        <w:spacing w:line="240" w:lineRule="auto"/>
        <w:jc w:val="center"/>
        <w:rPr>
          <w:rFonts w:eastAsia="Times New Roman" w:cs="Arial"/>
          <w:b/>
          <w:szCs w:val="20"/>
        </w:rPr>
      </w:pPr>
    </w:p>
    <w:p w14:paraId="7ACA2C82" w14:textId="77777777" w:rsidR="00C56CF9" w:rsidRDefault="00C56CF9" w:rsidP="00704F7D">
      <w:pPr>
        <w:spacing w:line="240" w:lineRule="auto"/>
        <w:jc w:val="center"/>
        <w:rPr>
          <w:rFonts w:eastAsia="Times New Roman" w:cs="Arial"/>
          <w:b/>
          <w:szCs w:val="20"/>
        </w:rPr>
      </w:pPr>
    </w:p>
    <w:p w14:paraId="391A6B37" w14:textId="77777777" w:rsidR="00C56CF9" w:rsidRDefault="00C56CF9" w:rsidP="00704F7D">
      <w:pPr>
        <w:spacing w:line="240" w:lineRule="auto"/>
        <w:jc w:val="center"/>
        <w:rPr>
          <w:rFonts w:eastAsia="Times New Roman" w:cs="Arial"/>
          <w:b/>
          <w:szCs w:val="20"/>
        </w:rPr>
      </w:pPr>
    </w:p>
    <w:p w14:paraId="458FFDB6" w14:textId="77777777" w:rsidR="00C56CF9" w:rsidRDefault="00C56CF9" w:rsidP="00704F7D">
      <w:pPr>
        <w:spacing w:line="240" w:lineRule="auto"/>
        <w:jc w:val="center"/>
        <w:rPr>
          <w:rFonts w:eastAsia="Times New Roman" w:cs="Arial"/>
          <w:b/>
          <w:szCs w:val="20"/>
        </w:rPr>
      </w:pPr>
    </w:p>
    <w:p w14:paraId="40051C10" w14:textId="77777777" w:rsidR="00C56CF9" w:rsidRDefault="00C56CF9" w:rsidP="00704F7D">
      <w:pPr>
        <w:spacing w:line="240" w:lineRule="auto"/>
        <w:jc w:val="center"/>
        <w:rPr>
          <w:rFonts w:eastAsia="Times New Roman" w:cs="Arial"/>
          <w:b/>
          <w:szCs w:val="20"/>
        </w:rPr>
      </w:pPr>
    </w:p>
    <w:p w14:paraId="1F126FB3" w14:textId="77777777" w:rsidR="00C56CF9" w:rsidRDefault="00C56CF9" w:rsidP="00704F7D">
      <w:pPr>
        <w:spacing w:line="240" w:lineRule="auto"/>
        <w:jc w:val="center"/>
        <w:rPr>
          <w:rFonts w:eastAsia="Times New Roman" w:cs="Arial"/>
          <w:b/>
          <w:szCs w:val="20"/>
        </w:rPr>
      </w:pPr>
    </w:p>
    <w:p w14:paraId="2C38B418" w14:textId="77777777" w:rsidR="00C56CF9" w:rsidRDefault="00C56CF9" w:rsidP="00704F7D">
      <w:pPr>
        <w:spacing w:line="240" w:lineRule="auto"/>
        <w:jc w:val="center"/>
        <w:rPr>
          <w:rFonts w:eastAsia="Times New Roman" w:cs="Arial"/>
          <w:b/>
          <w:szCs w:val="20"/>
        </w:rPr>
      </w:pPr>
    </w:p>
    <w:p w14:paraId="1661B8D0" w14:textId="033F4235" w:rsidR="00C56CF9" w:rsidRDefault="00C56CF9" w:rsidP="00704F7D">
      <w:pPr>
        <w:spacing w:line="240" w:lineRule="auto"/>
        <w:jc w:val="center"/>
        <w:rPr>
          <w:rFonts w:eastAsia="Times New Roman" w:cs="Arial"/>
          <w:b/>
          <w:szCs w:val="20"/>
        </w:rPr>
      </w:pPr>
    </w:p>
    <w:p w14:paraId="2CDBAEEA" w14:textId="02D221AD" w:rsidR="0024568F" w:rsidRDefault="0024568F" w:rsidP="00704F7D">
      <w:pPr>
        <w:spacing w:line="240" w:lineRule="auto"/>
        <w:jc w:val="center"/>
        <w:rPr>
          <w:rFonts w:eastAsia="Times New Roman" w:cs="Arial"/>
          <w:b/>
          <w:szCs w:val="20"/>
        </w:rPr>
      </w:pPr>
    </w:p>
    <w:p w14:paraId="0439DC97" w14:textId="77777777" w:rsidR="0024568F" w:rsidRDefault="0024568F" w:rsidP="00704F7D">
      <w:pPr>
        <w:spacing w:line="240" w:lineRule="auto"/>
        <w:jc w:val="center"/>
        <w:rPr>
          <w:rFonts w:eastAsia="Times New Roman" w:cs="Arial"/>
          <w:b/>
          <w:szCs w:val="20"/>
        </w:rPr>
      </w:pPr>
    </w:p>
    <w:p w14:paraId="75C5340C" w14:textId="77777777" w:rsidR="00D9264C" w:rsidRDefault="00D9264C" w:rsidP="00704F7D">
      <w:pPr>
        <w:spacing w:line="240" w:lineRule="auto"/>
        <w:jc w:val="center"/>
        <w:rPr>
          <w:rFonts w:eastAsia="Times New Roman" w:cs="Arial"/>
          <w:b/>
          <w:szCs w:val="20"/>
        </w:rPr>
      </w:pPr>
    </w:p>
    <w:p w14:paraId="3DFBD0F7" w14:textId="77777777" w:rsidR="00C56CF9" w:rsidRDefault="00C56CF9" w:rsidP="00704F7D">
      <w:pPr>
        <w:spacing w:line="240" w:lineRule="auto"/>
        <w:jc w:val="center"/>
        <w:rPr>
          <w:rFonts w:eastAsia="Times New Roman" w:cs="Arial"/>
          <w:b/>
          <w:szCs w:val="20"/>
        </w:rPr>
      </w:pPr>
    </w:p>
    <w:tbl>
      <w:tblPr>
        <w:tblStyle w:val="TableGrid"/>
        <w:tblW w:w="0" w:type="auto"/>
        <w:jc w:val="center"/>
        <w:tblLook w:val="04A0" w:firstRow="1" w:lastRow="0" w:firstColumn="1" w:lastColumn="0" w:noHBand="0" w:noVBand="1"/>
      </w:tblPr>
      <w:tblGrid>
        <w:gridCol w:w="9286"/>
      </w:tblGrid>
      <w:tr w:rsidR="00C56CF9" w14:paraId="243AC3E6" w14:textId="77777777" w:rsidTr="00C56CF9">
        <w:trPr>
          <w:jc w:val="center"/>
        </w:trPr>
        <w:tc>
          <w:tcPr>
            <w:tcW w:w="9286" w:type="dxa"/>
            <w:shd w:val="clear" w:color="auto" w:fill="0070C0"/>
          </w:tcPr>
          <w:p w14:paraId="008C5F90" w14:textId="77777777" w:rsidR="00C56CF9" w:rsidRPr="00C12E8E" w:rsidRDefault="00C56CF9" w:rsidP="00944B35">
            <w:pPr>
              <w:spacing w:before="0" w:line="240" w:lineRule="auto"/>
              <w:jc w:val="center"/>
              <w:rPr>
                <w:b/>
              </w:rPr>
            </w:pPr>
            <w:r w:rsidRPr="00C12E8E">
              <w:rPr>
                <w:b/>
                <w:color w:val="FFFFFF" w:themeColor="background1"/>
              </w:rPr>
              <w:t>KEY POLICY MESSAGES</w:t>
            </w:r>
          </w:p>
        </w:tc>
      </w:tr>
      <w:tr w:rsidR="00C56CF9" w14:paraId="4D1CE509" w14:textId="77777777" w:rsidTr="00C56CF9">
        <w:trPr>
          <w:jc w:val="center"/>
        </w:trPr>
        <w:tc>
          <w:tcPr>
            <w:tcW w:w="9286" w:type="dxa"/>
          </w:tcPr>
          <w:p w14:paraId="7D7A04F3" w14:textId="3A0BDD3A" w:rsidR="00C56CF9" w:rsidRPr="002913C6" w:rsidRDefault="008E0124" w:rsidP="003F3785">
            <w:pPr>
              <w:pStyle w:val="ListParagraph"/>
              <w:numPr>
                <w:ilvl w:val="0"/>
                <w:numId w:val="8"/>
              </w:numPr>
              <w:spacing w:before="0" w:line="240" w:lineRule="auto"/>
              <w:ind w:left="567" w:hanging="567"/>
            </w:pPr>
            <w:r>
              <w:t>Has been developed to support corporate committees of the ICB in their decision-making processes.</w:t>
            </w:r>
          </w:p>
        </w:tc>
      </w:tr>
      <w:tr w:rsidR="00C56CF9" w14:paraId="479A8BB0" w14:textId="77777777" w:rsidTr="00C56CF9">
        <w:trPr>
          <w:jc w:val="center"/>
        </w:trPr>
        <w:tc>
          <w:tcPr>
            <w:tcW w:w="9286" w:type="dxa"/>
          </w:tcPr>
          <w:p w14:paraId="688B6B26" w14:textId="2794212F" w:rsidR="00C56CF9" w:rsidRPr="002913C6" w:rsidRDefault="004C1B91" w:rsidP="003F3785">
            <w:pPr>
              <w:pStyle w:val="ListParagraph"/>
              <w:numPr>
                <w:ilvl w:val="0"/>
                <w:numId w:val="8"/>
              </w:numPr>
              <w:spacing w:before="0" w:line="240" w:lineRule="auto"/>
              <w:ind w:left="567" w:hanging="567"/>
            </w:pPr>
            <w:r>
              <w:t>Specifies statutory duties</w:t>
            </w:r>
            <w:r w:rsidR="008E0124">
              <w:t xml:space="preserve"> for the ICB.</w:t>
            </w:r>
          </w:p>
        </w:tc>
      </w:tr>
      <w:tr w:rsidR="00C56CF9" w14:paraId="50358335" w14:textId="77777777" w:rsidTr="00C56CF9">
        <w:trPr>
          <w:jc w:val="center"/>
        </w:trPr>
        <w:tc>
          <w:tcPr>
            <w:tcW w:w="9286" w:type="dxa"/>
          </w:tcPr>
          <w:p w14:paraId="0EEDB495" w14:textId="78C9D459" w:rsidR="00C56CF9" w:rsidRPr="002913C6" w:rsidRDefault="004C1B91" w:rsidP="003F3785">
            <w:pPr>
              <w:pStyle w:val="ListParagraph"/>
              <w:numPr>
                <w:ilvl w:val="0"/>
                <w:numId w:val="8"/>
              </w:numPr>
              <w:spacing w:before="0" w:line="240" w:lineRule="auto"/>
              <w:ind w:left="567" w:hanging="567"/>
            </w:pPr>
            <w:r>
              <w:t>Ensures due regard</w:t>
            </w:r>
            <w:r w:rsidR="008E0124">
              <w:t>.</w:t>
            </w:r>
          </w:p>
        </w:tc>
      </w:tr>
    </w:tbl>
    <w:p w14:paraId="2FF7623E" w14:textId="77777777" w:rsidR="00C56CF9" w:rsidRPr="00DC6860" w:rsidRDefault="00C56CF9" w:rsidP="00704F7D">
      <w:pPr>
        <w:spacing w:line="240" w:lineRule="auto"/>
        <w:jc w:val="center"/>
        <w:rPr>
          <w:rFonts w:eastAsia="Times New Roman" w:cs="Arial"/>
          <w:b/>
          <w:szCs w:val="20"/>
        </w:rPr>
      </w:pPr>
    </w:p>
    <w:p w14:paraId="4080C422" w14:textId="77777777" w:rsidR="00BF5FD5" w:rsidRDefault="00BF5FD5" w:rsidP="00704F7D">
      <w:pPr>
        <w:sectPr w:rsidR="00BF5FD5" w:rsidSect="00583036">
          <w:headerReference w:type="default" r:id="rId9"/>
          <w:footerReference w:type="default" r:id="rId10"/>
          <w:pgSz w:w="11906" w:h="16838" w:code="9"/>
          <w:pgMar w:top="1134" w:right="1134" w:bottom="1134" w:left="1134" w:header="851" w:footer="851" w:gutter="0"/>
          <w:cols w:space="708"/>
          <w:docGrid w:linePitch="360"/>
        </w:sectPr>
      </w:pPr>
    </w:p>
    <w:p w14:paraId="26F11D80" w14:textId="77777777" w:rsidR="001D0262" w:rsidRPr="00356340" w:rsidRDefault="001D0262" w:rsidP="001D0262">
      <w:pPr>
        <w:spacing w:before="0" w:line="240" w:lineRule="auto"/>
        <w:jc w:val="center"/>
        <w:rPr>
          <w:b/>
          <w:sz w:val="20"/>
          <w:szCs w:val="20"/>
          <w:u w:val="single"/>
        </w:rPr>
      </w:pPr>
      <w:bookmarkStart w:id="0" w:name="_Toc440874308"/>
      <w:bookmarkStart w:id="1" w:name="_Toc440874408"/>
      <w:bookmarkEnd w:id="0"/>
      <w:bookmarkEnd w:id="1"/>
      <w:r w:rsidRPr="00356340">
        <w:rPr>
          <w:b/>
          <w:sz w:val="20"/>
          <w:szCs w:val="20"/>
          <w:u w:val="single"/>
        </w:rPr>
        <w:lastRenderedPageBreak/>
        <w:t>VERSION CONTROL</w:t>
      </w:r>
    </w:p>
    <w:p w14:paraId="0B05867A" w14:textId="77777777" w:rsidR="001D0262" w:rsidRPr="00B728E6" w:rsidRDefault="001D0262" w:rsidP="001D0262">
      <w:pPr>
        <w:spacing w:before="0" w:line="240" w:lineRule="auto"/>
        <w:jc w:val="center"/>
        <w:rPr>
          <w:b/>
          <w:sz w:val="20"/>
          <w:szCs w:val="20"/>
          <w:u w:val="single"/>
        </w:rPr>
      </w:pPr>
    </w:p>
    <w:tbl>
      <w:tblPr>
        <w:tblW w:w="925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64"/>
        <w:gridCol w:w="6095"/>
      </w:tblGrid>
      <w:tr w:rsidR="001D0262" w:rsidRPr="00741EF2" w14:paraId="67509CE5" w14:textId="77777777" w:rsidTr="00C447BD">
        <w:trPr>
          <w:trHeight w:val="432"/>
        </w:trPr>
        <w:tc>
          <w:tcPr>
            <w:tcW w:w="3164" w:type="dxa"/>
          </w:tcPr>
          <w:p w14:paraId="6E04BB07"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Title:</w:t>
            </w:r>
          </w:p>
        </w:tc>
        <w:tc>
          <w:tcPr>
            <w:tcW w:w="6095" w:type="dxa"/>
          </w:tcPr>
          <w:p w14:paraId="4687EB09" w14:textId="26D47A0A" w:rsidR="001D0262" w:rsidRPr="00741EF2" w:rsidRDefault="001D0262" w:rsidP="00C447BD">
            <w:pPr>
              <w:widowControl w:val="0"/>
              <w:spacing w:before="0" w:line="240" w:lineRule="auto"/>
              <w:jc w:val="left"/>
              <w:rPr>
                <w:rFonts w:eastAsia="Arial" w:cs="Arial"/>
                <w:lang w:val="en-US"/>
              </w:rPr>
            </w:pPr>
            <w:r>
              <w:rPr>
                <w:rFonts w:eastAsia="Calibri" w:hAnsi="Calibri" w:cs="Times New Roman"/>
                <w:spacing w:val="-1"/>
                <w:lang w:val="en-US"/>
              </w:rPr>
              <w:t xml:space="preserve">NHS Derby and Derbyshire </w:t>
            </w:r>
            <w:r w:rsidR="00610322">
              <w:rPr>
                <w:rFonts w:eastAsia="Calibri" w:hAnsi="Calibri" w:cs="Times New Roman"/>
                <w:spacing w:val="-1"/>
                <w:lang w:val="en-US"/>
              </w:rPr>
              <w:t>Integrated Care Board</w:t>
            </w:r>
            <w:r w:rsidR="00191CCA">
              <w:rPr>
                <w:rFonts w:eastAsia="Calibri" w:hAnsi="Calibri" w:cs="Times New Roman"/>
                <w:spacing w:val="-1"/>
                <w:lang w:val="en-US"/>
              </w:rPr>
              <w:t xml:space="preserve"> </w:t>
            </w:r>
            <w:r w:rsidR="001F6C65">
              <w:rPr>
                <w:rFonts w:eastAsia="Calibri" w:hAnsi="Calibri" w:cs="Times New Roman"/>
                <w:spacing w:val="-1"/>
                <w:lang w:val="en-US"/>
              </w:rPr>
              <w:t>Ethical Framework for Decision-Making</w:t>
            </w:r>
          </w:p>
        </w:tc>
      </w:tr>
      <w:tr w:rsidR="001D0262" w:rsidRPr="00741EF2" w14:paraId="64E71358" w14:textId="77777777" w:rsidTr="00C447BD">
        <w:trPr>
          <w:trHeight w:val="432"/>
        </w:trPr>
        <w:tc>
          <w:tcPr>
            <w:tcW w:w="3164" w:type="dxa"/>
          </w:tcPr>
          <w:p w14:paraId="1A9FFB39"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Supersedes:</w:t>
            </w:r>
          </w:p>
        </w:tc>
        <w:tc>
          <w:tcPr>
            <w:tcW w:w="6095" w:type="dxa"/>
          </w:tcPr>
          <w:p w14:paraId="0675811E" w14:textId="0A6E9707" w:rsidR="001D0262" w:rsidRPr="00741EF2" w:rsidRDefault="001F6C65" w:rsidP="00C447BD">
            <w:pPr>
              <w:widowControl w:val="0"/>
              <w:spacing w:before="0" w:line="240" w:lineRule="auto"/>
              <w:jc w:val="left"/>
              <w:rPr>
                <w:rFonts w:eastAsia="Arial" w:cs="Arial"/>
                <w:lang w:val="en-US"/>
              </w:rPr>
            </w:pPr>
            <w:r>
              <w:rPr>
                <w:rFonts w:eastAsia="Calibri" w:hAnsi="Calibri" w:cs="Times New Roman"/>
                <w:spacing w:val="-1"/>
                <w:lang w:val="en-US"/>
              </w:rPr>
              <w:t>N/A</w:t>
            </w:r>
          </w:p>
        </w:tc>
      </w:tr>
      <w:tr w:rsidR="001D0262" w:rsidRPr="00741EF2" w14:paraId="2DA02339" w14:textId="77777777" w:rsidTr="00C447BD">
        <w:trPr>
          <w:trHeight w:val="432"/>
        </w:trPr>
        <w:tc>
          <w:tcPr>
            <w:tcW w:w="3164" w:type="dxa"/>
          </w:tcPr>
          <w:p w14:paraId="0FDE00B2"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Description</w:t>
            </w:r>
            <w:r w:rsidRPr="00741EF2">
              <w:rPr>
                <w:rFonts w:eastAsia="Calibri" w:hAnsi="Calibri" w:cs="Times New Roman"/>
                <w:b/>
                <w:lang w:val="en-US"/>
              </w:rPr>
              <w:t xml:space="preserve"> </w:t>
            </w:r>
            <w:r w:rsidRPr="00741EF2">
              <w:rPr>
                <w:rFonts w:eastAsia="Calibri" w:hAnsi="Calibri" w:cs="Times New Roman"/>
                <w:b/>
                <w:spacing w:val="-2"/>
                <w:lang w:val="en-US"/>
              </w:rPr>
              <w:t>of</w:t>
            </w:r>
            <w:r w:rsidRPr="00741EF2">
              <w:rPr>
                <w:rFonts w:eastAsia="Calibri" w:hAnsi="Calibri" w:cs="Times New Roman"/>
                <w:b/>
                <w:spacing w:val="27"/>
                <w:lang w:val="en-US"/>
              </w:rPr>
              <w:t xml:space="preserve"> </w:t>
            </w:r>
            <w:r w:rsidRPr="00741EF2">
              <w:rPr>
                <w:rFonts w:eastAsia="Calibri" w:hAnsi="Calibri" w:cs="Times New Roman"/>
                <w:b/>
                <w:spacing w:val="-1"/>
                <w:lang w:val="en-US"/>
              </w:rPr>
              <w:t>Amendment(s):</w:t>
            </w:r>
          </w:p>
        </w:tc>
        <w:tc>
          <w:tcPr>
            <w:tcW w:w="6095" w:type="dxa"/>
          </w:tcPr>
          <w:p w14:paraId="008A8A18" w14:textId="77777777" w:rsidR="007A0460" w:rsidRDefault="00877DF0" w:rsidP="00C447BD">
            <w:pPr>
              <w:widowControl w:val="0"/>
              <w:spacing w:before="0" w:line="240" w:lineRule="auto"/>
              <w:jc w:val="left"/>
              <w:rPr>
                <w:rFonts w:eastAsia="Arial" w:cs="Arial"/>
                <w:lang w:val="en-US"/>
              </w:rPr>
            </w:pPr>
            <w:r>
              <w:rPr>
                <w:rFonts w:eastAsia="Arial" w:cs="Arial"/>
                <w:lang w:val="en-US"/>
              </w:rPr>
              <w:t>Version</w:t>
            </w:r>
            <w:r w:rsidR="001F6C65">
              <w:rPr>
                <w:rFonts w:eastAsia="Arial" w:cs="Arial"/>
                <w:lang w:val="en-US"/>
              </w:rPr>
              <w:t>s</w:t>
            </w:r>
            <w:r>
              <w:rPr>
                <w:rFonts w:eastAsia="Arial" w:cs="Arial"/>
                <w:lang w:val="en-US"/>
              </w:rPr>
              <w:t xml:space="preserve"> </w:t>
            </w:r>
            <w:r w:rsidR="00610322">
              <w:rPr>
                <w:rFonts w:eastAsia="Arial" w:cs="Arial"/>
                <w:lang w:val="en-US"/>
              </w:rPr>
              <w:t>0</w:t>
            </w:r>
            <w:r>
              <w:rPr>
                <w:rFonts w:eastAsia="Arial" w:cs="Arial"/>
                <w:lang w:val="en-US"/>
              </w:rPr>
              <w:t>.</w:t>
            </w:r>
            <w:r w:rsidR="00610322">
              <w:rPr>
                <w:rFonts w:eastAsia="Arial" w:cs="Arial"/>
                <w:lang w:val="en-US"/>
              </w:rPr>
              <w:t>1</w:t>
            </w:r>
            <w:r w:rsidR="00BB3622">
              <w:rPr>
                <w:rFonts w:eastAsia="Arial" w:cs="Arial"/>
                <w:lang w:val="en-US"/>
              </w:rPr>
              <w:t xml:space="preserve">, </w:t>
            </w:r>
            <w:r w:rsidR="001F6C65">
              <w:rPr>
                <w:rFonts w:eastAsia="Arial" w:cs="Arial"/>
                <w:lang w:val="en-US"/>
              </w:rPr>
              <w:t>0.2</w:t>
            </w:r>
            <w:r w:rsidR="0013544A">
              <w:rPr>
                <w:rFonts w:eastAsia="Arial" w:cs="Arial"/>
                <w:lang w:val="en-US"/>
              </w:rPr>
              <w:t xml:space="preserve">, </w:t>
            </w:r>
            <w:r w:rsidR="00BB3622">
              <w:rPr>
                <w:rFonts w:eastAsia="Arial" w:cs="Arial"/>
                <w:lang w:val="en-US"/>
              </w:rPr>
              <w:t>0.3</w:t>
            </w:r>
            <w:r>
              <w:rPr>
                <w:rFonts w:eastAsia="Arial" w:cs="Arial"/>
                <w:lang w:val="en-US"/>
              </w:rPr>
              <w:t xml:space="preserve"> </w:t>
            </w:r>
            <w:r w:rsidR="0013544A">
              <w:rPr>
                <w:rFonts w:eastAsia="Arial" w:cs="Arial"/>
                <w:lang w:val="en-US"/>
              </w:rPr>
              <w:t xml:space="preserve">and 0.4 </w:t>
            </w:r>
            <w:r>
              <w:rPr>
                <w:rFonts w:eastAsia="Arial" w:cs="Arial"/>
                <w:lang w:val="en-US"/>
              </w:rPr>
              <w:t>– initial draft</w:t>
            </w:r>
            <w:r w:rsidR="001F6C65">
              <w:rPr>
                <w:rFonts w:eastAsia="Arial" w:cs="Arial"/>
                <w:lang w:val="en-US"/>
              </w:rPr>
              <w:t>s</w:t>
            </w:r>
          </w:p>
          <w:p w14:paraId="52CD6B74" w14:textId="7B46C52E" w:rsidR="0013544A" w:rsidRPr="00741EF2" w:rsidRDefault="0013544A" w:rsidP="00C447BD">
            <w:pPr>
              <w:widowControl w:val="0"/>
              <w:spacing w:before="0" w:line="240" w:lineRule="auto"/>
              <w:jc w:val="left"/>
              <w:rPr>
                <w:rFonts w:eastAsia="Arial" w:cs="Arial"/>
                <w:lang w:val="en-US"/>
              </w:rPr>
            </w:pPr>
            <w:r>
              <w:rPr>
                <w:rFonts w:eastAsia="Arial" w:cs="Arial"/>
                <w:lang w:val="en-US"/>
              </w:rPr>
              <w:t>Version 1.0 – final (approved)</w:t>
            </w:r>
          </w:p>
        </w:tc>
      </w:tr>
      <w:tr w:rsidR="001D0262" w:rsidRPr="00741EF2" w14:paraId="3B0D50E2" w14:textId="77777777" w:rsidTr="00C447BD">
        <w:trPr>
          <w:trHeight w:val="432"/>
        </w:trPr>
        <w:tc>
          <w:tcPr>
            <w:tcW w:w="3164" w:type="dxa"/>
          </w:tcPr>
          <w:p w14:paraId="737412A0" w14:textId="77777777" w:rsidR="001D0262" w:rsidRPr="00741EF2" w:rsidRDefault="001D0262" w:rsidP="00C447BD">
            <w:pPr>
              <w:widowControl w:val="0"/>
              <w:spacing w:before="0" w:line="240" w:lineRule="auto"/>
              <w:jc w:val="left"/>
              <w:rPr>
                <w:rFonts w:eastAsia="Arial" w:cs="Arial"/>
                <w:lang w:val="en-US"/>
              </w:rPr>
            </w:pPr>
            <w:r w:rsidRPr="009B5FFA">
              <w:rPr>
                <w:rFonts w:eastAsia="Calibri" w:hAnsi="Calibri" w:cs="Times New Roman"/>
                <w:b/>
                <w:spacing w:val="-1"/>
                <w:lang w:val="en-US"/>
              </w:rPr>
              <w:t>Financial Implications:</w:t>
            </w:r>
          </w:p>
        </w:tc>
        <w:tc>
          <w:tcPr>
            <w:tcW w:w="6095" w:type="dxa"/>
          </w:tcPr>
          <w:p w14:paraId="46FB8AEC" w14:textId="10F12BE8" w:rsidR="001D0262" w:rsidRPr="00741EF2" w:rsidRDefault="003B193C" w:rsidP="00C447BD">
            <w:pPr>
              <w:widowControl w:val="0"/>
              <w:spacing w:before="0" w:line="240" w:lineRule="auto"/>
              <w:jc w:val="left"/>
              <w:rPr>
                <w:rFonts w:eastAsia="Arial" w:cs="Arial"/>
                <w:lang w:val="en-US"/>
              </w:rPr>
            </w:pPr>
            <w:r>
              <w:rPr>
                <w:rFonts w:eastAsia="Arial" w:cs="Arial"/>
                <w:lang w:val="en-US"/>
              </w:rPr>
              <w:t>N/A</w:t>
            </w:r>
          </w:p>
        </w:tc>
      </w:tr>
      <w:tr w:rsidR="001D0262" w:rsidRPr="001F6C65" w14:paraId="24FF7BF4" w14:textId="77777777" w:rsidTr="00C447BD">
        <w:trPr>
          <w:trHeight w:val="432"/>
        </w:trPr>
        <w:tc>
          <w:tcPr>
            <w:tcW w:w="3164" w:type="dxa"/>
          </w:tcPr>
          <w:p w14:paraId="08E4BD14" w14:textId="77777777" w:rsidR="001D0262" w:rsidRPr="008E0124" w:rsidRDefault="001D0262" w:rsidP="00C447BD">
            <w:pPr>
              <w:widowControl w:val="0"/>
              <w:spacing w:before="0" w:line="240" w:lineRule="auto"/>
              <w:jc w:val="left"/>
              <w:rPr>
                <w:rFonts w:eastAsia="Arial" w:cs="Arial"/>
                <w:lang w:val="en-US"/>
              </w:rPr>
            </w:pPr>
            <w:r w:rsidRPr="008E0124">
              <w:rPr>
                <w:rFonts w:eastAsia="Calibri" w:hAnsi="Calibri" w:cs="Times New Roman"/>
                <w:b/>
                <w:spacing w:val="-1"/>
                <w:lang w:val="en-US"/>
              </w:rPr>
              <w:t>Policy</w:t>
            </w:r>
            <w:r w:rsidRPr="008E0124">
              <w:rPr>
                <w:rFonts w:eastAsia="Calibri" w:hAnsi="Calibri" w:cs="Times New Roman"/>
                <w:b/>
                <w:lang w:val="en-US"/>
              </w:rPr>
              <w:t xml:space="preserve"> </w:t>
            </w:r>
            <w:r w:rsidRPr="008E0124">
              <w:rPr>
                <w:rFonts w:eastAsia="Calibri" w:hAnsi="Calibri" w:cs="Times New Roman"/>
                <w:b/>
                <w:spacing w:val="-3"/>
                <w:lang w:val="en-US"/>
              </w:rPr>
              <w:t>Area:</w:t>
            </w:r>
          </w:p>
        </w:tc>
        <w:tc>
          <w:tcPr>
            <w:tcW w:w="6095" w:type="dxa"/>
          </w:tcPr>
          <w:p w14:paraId="4A366CF9" w14:textId="25EDA046" w:rsidR="001F6C65" w:rsidRPr="008E0124" w:rsidRDefault="008E0124" w:rsidP="008E0124">
            <w:pPr>
              <w:widowControl w:val="0"/>
              <w:spacing w:before="0" w:line="240" w:lineRule="auto"/>
              <w:jc w:val="left"/>
              <w:rPr>
                <w:rFonts w:eastAsia="Arial" w:cs="Arial"/>
                <w:lang w:val="en-US"/>
              </w:rPr>
            </w:pPr>
            <w:r w:rsidRPr="008E0124">
              <w:rPr>
                <w:rFonts w:eastAsia="Arial" w:cs="Arial"/>
                <w:lang w:val="en-US"/>
              </w:rPr>
              <w:t>Corporate Delivery</w:t>
            </w:r>
          </w:p>
        </w:tc>
      </w:tr>
      <w:tr w:rsidR="001D0262" w:rsidRPr="001F6C65" w14:paraId="30E025D6" w14:textId="77777777" w:rsidTr="00C447BD">
        <w:trPr>
          <w:trHeight w:val="432"/>
        </w:trPr>
        <w:tc>
          <w:tcPr>
            <w:tcW w:w="3164" w:type="dxa"/>
          </w:tcPr>
          <w:p w14:paraId="7842FDE7" w14:textId="77777777" w:rsidR="001D0262" w:rsidRPr="008E0124" w:rsidRDefault="001D0262" w:rsidP="00C447BD">
            <w:pPr>
              <w:widowControl w:val="0"/>
              <w:spacing w:before="0" w:line="240" w:lineRule="auto"/>
              <w:jc w:val="left"/>
              <w:rPr>
                <w:rFonts w:eastAsia="Arial" w:cs="Arial"/>
                <w:lang w:val="en-US"/>
              </w:rPr>
            </w:pPr>
            <w:r w:rsidRPr="008E0124">
              <w:rPr>
                <w:rFonts w:eastAsia="Calibri" w:hAnsi="Calibri" w:cs="Times New Roman"/>
                <w:b/>
                <w:spacing w:val="-1"/>
                <w:lang w:val="en-US"/>
              </w:rPr>
              <w:t>Version</w:t>
            </w:r>
            <w:r w:rsidRPr="008E0124">
              <w:rPr>
                <w:rFonts w:eastAsia="Calibri" w:hAnsi="Calibri" w:cs="Times New Roman"/>
                <w:b/>
                <w:lang w:val="en-US"/>
              </w:rPr>
              <w:t xml:space="preserve"> </w:t>
            </w:r>
            <w:r w:rsidRPr="008E0124">
              <w:rPr>
                <w:rFonts w:eastAsia="Calibri" w:hAnsi="Calibri" w:cs="Times New Roman"/>
                <w:b/>
                <w:spacing w:val="-2"/>
                <w:lang w:val="en-US"/>
              </w:rPr>
              <w:t>No:</w:t>
            </w:r>
          </w:p>
        </w:tc>
        <w:tc>
          <w:tcPr>
            <w:tcW w:w="6095" w:type="dxa"/>
          </w:tcPr>
          <w:p w14:paraId="3D1384F3" w14:textId="76C28B2F" w:rsidR="001D0262" w:rsidRPr="008E0124" w:rsidRDefault="001D0262" w:rsidP="00730D3D">
            <w:pPr>
              <w:widowControl w:val="0"/>
              <w:spacing w:before="0" w:line="240" w:lineRule="auto"/>
              <w:jc w:val="left"/>
              <w:rPr>
                <w:rFonts w:eastAsia="Arial" w:cs="Arial"/>
                <w:lang w:val="en-US"/>
              </w:rPr>
            </w:pPr>
            <w:r w:rsidRPr="008E0124">
              <w:rPr>
                <w:rFonts w:eastAsia="Arial" w:cs="Arial"/>
                <w:lang w:val="en-US"/>
              </w:rPr>
              <w:t xml:space="preserve">Version </w:t>
            </w:r>
            <w:r w:rsidR="0013544A">
              <w:rPr>
                <w:rFonts w:eastAsia="Arial" w:cs="Arial"/>
                <w:lang w:val="en-US"/>
              </w:rPr>
              <w:t>1.0</w:t>
            </w:r>
          </w:p>
        </w:tc>
      </w:tr>
      <w:tr w:rsidR="001D0262" w:rsidRPr="001F6C65" w14:paraId="4F68EB28" w14:textId="77777777" w:rsidTr="00C447BD">
        <w:trPr>
          <w:trHeight w:val="432"/>
        </w:trPr>
        <w:tc>
          <w:tcPr>
            <w:tcW w:w="3164" w:type="dxa"/>
          </w:tcPr>
          <w:p w14:paraId="22184821" w14:textId="77777777" w:rsidR="001D0262" w:rsidRPr="008E0124" w:rsidRDefault="001D0262" w:rsidP="00C447BD">
            <w:pPr>
              <w:widowControl w:val="0"/>
              <w:spacing w:before="0" w:line="240" w:lineRule="auto"/>
              <w:jc w:val="left"/>
              <w:rPr>
                <w:rFonts w:eastAsia="Arial" w:cs="Arial"/>
                <w:lang w:val="en-US"/>
              </w:rPr>
            </w:pPr>
            <w:r w:rsidRPr="008E0124">
              <w:rPr>
                <w:rFonts w:eastAsia="Calibri" w:hAnsi="Calibri" w:cs="Times New Roman"/>
                <w:b/>
                <w:spacing w:val="-1"/>
                <w:lang w:val="en-US"/>
              </w:rPr>
              <w:t>Author:</w:t>
            </w:r>
          </w:p>
        </w:tc>
        <w:tc>
          <w:tcPr>
            <w:tcW w:w="6095" w:type="dxa"/>
          </w:tcPr>
          <w:p w14:paraId="53B8CEB9" w14:textId="77777777" w:rsidR="001D0262" w:rsidRDefault="008E0124" w:rsidP="003B193C">
            <w:pPr>
              <w:widowControl w:val="0"/>
              <w:spacing w:before="0" w:line="240" w:lineRule="auto"/>
              <w:jc w:val="left"/>
              <w:rPr>
                <w:rFonts w:eastAsia="Calibri" w:hAnsi="Calibri" w:cs="Times New Roman"/>
                <w:spacing w:val="-1"/>
                <w:lang w:val="en-US"/>
              </w:rPr>
            </w:pPr>
            <w:r w:rsidRPr="008E0124">
              <w:rPr>
                <w:rFonts w:eastAsia="Calibri" w:hAnsi="Calibri" w:cs="Times New Roman"/>
                <w:spacing w:val="-1"/>
                <w:lang w:val="en-US"/>
              </w:rPr>
              <w:t>Helen Moss, Individual Decisions and Project Manager</w:t>
            </w:r>
          </w:p>
          <w:p w14:paraId="653CCBE2" w14:textId="3BAA4490" w:rsidR="00C06D68" w:rsidRDefault="00513BA0" w:rsidP="003B193C">
            <w:pPr>
              <w:widowControl w:val="0"/>
              <w:spacing w:before="0" w:line="240" w:lineRule="auto"/>
              <w:jc w:val="left"/>
              <w:rPr>
                <w:rFonts w:cs="Arial"/>
                <w:color w:val="000000"/>
                <w:lang w:eastAsia="en-GB"/>
              </w:rPr>
            </w:pPr>
            <w:r>
              <w:rPr>
                <w:rFonts w:eastAsia="Calibri" w:hAnsi="Calibri" w:cs="Times New Roman"/>
                <w:spacing w:val="-1"/>
                <w:lang w:val="en-US"/>
              </w:rPr>
              <w:t xml:space="preserve">Sean Thornton, </w:t>
            </w:r>
            <w:r>
              <w:rPr>
                <w:rFonts w:cs="Arial"/>
                <w:color w:val="000000"/>
                <w:lang w:eastAsia="en-GB"/>
              </w:rPr>
              <w:t>Deputy Director Communications and Engagement</w:t>
            </w:r>
          </w:p>
          <w:p w14:paraId="7A6352B5" w14:textId="09E28581" w:rsidR="00C06D68" w:rsidRPr="008E0124" w:rsidRDefault="00C06D68" w:rsidP="003B193C">
            <w:pPr>
              <w:widowControl w:val="0"/>
              <w:spacing w:before="0" w:line="240" w:lineRule="auto"/>
              <w:jc w:val="left"/>
              <w:rPr>
                <w:rFonts w:eastAsia="Calibri" w:hAnsi="Calibri" w:cs="Times New Roman"/>
                <w:spacing w:val="-1"/>
                <w:lang w:val="en-US"/>
              </w:rPr>
            </w:pPr>
            <w:r>
              <w:rPr>
                <w:rFonts w:cs="Arial"/>
                <w:color w:val="000000"/>
                <w:lang w:eastAsia="en-GB"/>
              </w:rPr>
              <w:t>Fran Palmer, Corporate Governance Manager</w:t>
            </w:r>
          </w:p>
        </w:tc>
      </w:tr>
      <w:tr w:rsidR="00193313" w:rsidRPr="001F6C65" w14:paraId="4DFBA285" w14:textId="77777777" w:rsidTr="00C447BD">
        <w:trPr>
          <w:trHeight w:val="432"/>
        </w:trPr>
        <w:tc>
          <w:tcPr>
            <w:tcW w:w="3164" w:type="dxa"/>
          </w:tcPr>
          <w:p w14:paraId="07122BAF" w14:textId="77777777" w:rsidR="00193313" w:rsidRPr="008E0124" w:rsidRDefault="00193313" w:rsidP="00193313">
            <w:pPr>
              <w:widowControl w:val="0"/>
              <w:spacing w:before="0" w:line="240" w:lineRule="auto"/>
              <w:jc w:val="left"/>
              <w:rPr>
                <w:rFonts w:eastAsia="Calibri" w:hAnsi="Calibri" w:cs="Times New Roman"/>
                <w:b/>
                <w:spacing w:val="-1"/>
                <w:lang w:val="en-US"/>
              </w:rPr>
            </w:pPr>
            <w:r w:rsidRPr="008E0124">
              <w:rPr>
                <w:rFonts w:eastAsia="Calibri" w:hAnsi="Calibri" w:cs="Times New Roman"/>
                <w:b/>
                <w:spacing w:val="-1"/>
                <w:lang w:val="en-US"/>
              </w:rPr>
              <w:t>Approved by:</w:t>
            </w:r>
          </w:p>
        </w:tc>
        <w:tc>
          <w:tcPr>
            <w:tcW w:w="6095" w:type="dxa"/>
          </w:tcPr>
          <w:p w14:paraId="7345720B" w14:textId="2CDFAE7C" w:rsidR="00193313" w:rsidRDefault="001F6C65" w:rsidP="00193313">
            <w:pPr>
              <w:widowControl w:val="0"/>
              <w:spacing w:before="0" w:line="240" w:lineRule="auto"/>
              <w:jc w:val="left"/>
              <w:rPr>
                <w:rFonts w:eastAsia="Calibri" w:hAnsi="Calibri" w:cs="Times New Roman"/>
                <w:spacing w:val="-1"/>
                <w:lang w:val="en-US"/>
              </w:rPr>
            </w:pPr>
            <w:r w:rsidRPr="008E0124">
              <w:rPr>
                <w:rFonts w:eastAsia="Calibri" w:hAnsi="Calibri" w:cs="Times New Roman"/>
                <w:spacing w:val="-1"/>
                <w:lang w:val="en-US"/>
              </w:rPr>
              <w:t>Audit &amp; Governance Committee</w:t>
            </w:r>
            <w:r w:rsidR="00513BA0">
              <w:rPr>
                <w:rFonts w:eastAsia="Calibri" w:hAnsi="Calibri" w:cs="Times New Roman"/>
                <w:spacing w:val="-1"/>
                <w:lang w:val="en-US"/>
              </w:rPr>
              <w:t>, 23</w:t>
            </w:r>
            <w:r w:rsidR="00513BA0" w:rsidRPr="00513BA0">
              <w:rPr>
                <w:rFonts w:eastAsia="Calibri" w:hAnsi="Calibri" w:cs="Times New Roman"/>
                <w:spacing w:val="-1"/>
                <w:vertAlign w:val="superscript"/>
                <w:lang w:val="en-US"/>
              </w:rPr>
              <w:t>rd</w:t>
            </w:r>
            <w:r w:rsidR="00513BA0">
              <w:rPr>
                <w:rFonts w:eastAsia="Calibri" w:hAnsi="Calibri" w:cs="Times New Roman"/>
                <w:spacing w:val="-1"/>
                <w:lang w:val="en-US"/>
              </w:rPr>
              <w:t xml:space="preserve"> March 2023</w:t>
            </w:r>
          </w:p>
          <w:p w14:paraId="5F229D5B" w14:textId="07D16F5C" w:rsidR="006D23D1" w:rsidRPr="008E0124" w:rsidRDefault="006D23D1" w:rsidP="00193313">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 xml:space="preserve">Clinical Policy Advisory Group, </w:t>
            </w:r>
            <w:r w:rsidR="00513BA0">
              <w:rPr>
                <w:rFonts w:eastAsia="Calibri" w:hAnsi="Calibri" w:cs="Times New Roman"/>
                <w:spacing w:val="-1"/>
                <w:lang w:val="en-US"/>
              </w:rPr>
              <w:t>6</w:t>
            </w:r>
            <w:r w:rsidR="00513BA0" w:rsidRPr="00513BA0">
              <w:rPr>
                <w:rFonts w:eastAsia="Calibri" w:hAnsi="Calibri" w:cs="Times New Roman"/>
                <w:spacing w:val="-1"/>
                <w:vertAlign w:val="superscript"/>
                <w:lang w:val="en-US"/>
              </w:rPr>
              <w:t>th</w:t>
            </w:r>
            <w:r w:rsidR="00513BA0">
              <w:rPr>
                <w:rFonts w:eastAsia="Calibri" w:hAnsi="Calibri" w:cs="Times New Roman"/>
                <w:spacing w:val="-1"/>
                <w:lang w:val="en-US"/>
              </w:rPr>
              <w:t xml:space="preserve"> October 2022</w:t>
            </w:r>
          </w:p>
        </w:tc>
      </w:tr>
      <w:tr w:rsidR="00193313" w:rsidRPr="001F6C65" w14:paraId="6D24368C" w14:textId="77777777" w:rsidTr="00C447BD">
        <w:trPr>
          <w:trHeight w:val="432"/>
        </w:trPr>
        <w:tc>
          <w:tcPr>
            <w:tcW w:w="3164" w:type="dxa"/>
          </w:tcPr>
          <w:p w14:paraId="4996A8D3" w14:textId="77777777" w:rsidR="00193313" w:rsidRPr="008E0124" w:rsidRDefault="00193313" w:rsidP="00193313">
            <w:pPr>
              <w:widowControl w:val="0"/>
              <w:spacing w:before="0" w:line="240" w:lineRule="auto"/>
              <w:jc w:val="left"/>
              <w:rPr>
                <w:rFonts w:eastAsia="Arial" w:cs="Arial"/>
                <w:lang w:val="en-US"/>
              </w:rPr>
            </w:pPr>
            <w:r w:rsidRPr="008E0124">
              <w:rPr>
                <w:rFonts w:eastAsia="Calibri" w:hAnsi="Calibri" w:cs="Times New Roman"/>
                <w:b/>
                <w:spacing w:val="-1"/>
                <w:lang w:val="en-US"/>
              </w:rPr>
              <w:t>Effective</w:t>
            </w:r>
            <w:r w:rsidRPr="008E0124">
              <w:rPr>
                <w:rFonts w:eastAsia="Calibri" w:hAnsi="Calibri" w:cs="Times New Roman"/>
                <w:b/>
                <w:lang w:val="en-US"/>
              </w:rPr>
              <w:t xml:space="preserve"> </w:t>
            </w:r>
            <w:r w:rsidRPr="008E0124">
              <w:rPr>
                <w:rFonts w:eastAsia="Calibri" w:hAnsi="Calibri" w:cs="Times New Roman"/>
                <w:b/>
                <w:spacing w:val="-1"/>
                <w:lang w:val="en-US"/>
              </w:rPr>
              <w:t>Date:</w:t>
            </w:r>
          </w:p>
        </w:tc>
        <w:tc>
          <w:tcPr>
            <w:tcW w:w="6095" w:type="dxa"/>
          </w:tcPr>
          <w:p w14:paraId="33D77EB2" w14:textId="073FEBA0" w:rsidR="00193313" w:rsidRPr="008E0124" w:rsidRDefault="001F6C65" w:rsidP="00193313">
            <w:pPr>
              <w:widowControl w:val="0"/>
              <w:spacing w:before="0" w:line="240" w:lineRule="auto"/>
              <w:jc w:val="left"/>
              <w:rPr>
                <w:rFonts w:eastAsia="Arial" w:cs="Arial"/>
                <w:lang w:val="en-US"/>
              </w:rPr>
            </w:pPr>
            <w:r w:rsidRPr="008E0124">
              <w:rPr>
                <w:rFonts w:eastAsia="Calibri" w:hAnsi="Calibri" w:cs="Times New Roman"/>
                <w:spacing w:val="-1"/>
                <w:lang w:val="en-US"/>
              </w:rPr>
              <w:t>October 2022</w:t>
            </w:r>
          </w:p>
        </w:tc>
      </w:tr>
      <w:tr w:rsidR="00193313" w:rsidRPr="001F6C65" w14:paraId="27A59695" w14:textId="77777777" w:rsidTr="00C447BD">
        <w:trPr>
          <w:trHeight w:val="432"/>
        </w:trPr>
        <w:tc>
          <w:tcPr>
            <w:tcW w:w="3164" w:type="dxa"/>
          </w:tcPr>
          <w:p w14:paraId="214D886E" w14:textId="77777777" w:rsidR="00193313" w:rsidRPr="008E0124" w:rsidRDefault="00193313" w:rsidP="00193313">
            <w:pPr>
              <w:widowControl w:val="0"/>
              <w:spacing w:before="0" w:line="240" w:lineRule="auto"/>
              <w:jc w:val="left"/>
              <w:rPr>
                <w:rFonts w:eastAsia="Arial" w:cs="Arial"/>
                <w:lang w:val="en-US"/>
              </w:rPr>
            </w:pPr>
            <w:r w:rsidRPr="008E0124">
              <w:rPr>
                <w:rFonts w:eastAsia="Calibri" w:hAnsi="Calibri" w:cs="Times New Roman"/>
                <w:b/>
                <w:spacing w:val="-2"/>
                <w:lang w:val="en-US"/>
              </w:rPr>
              <w:t>Review</w:t>
            </w:r>
            <w:r w:rsidRPr="008E0124">
              <w:rPr>
                <w:rFonts w:eastAsia="Calibri" w:hAnsi="Calibri" w:cs="Times New Roman"/>
                <w:b/>
                <w:spacing w:val="4"/>
                <w:lang w:val="en-US"/>
              </w:rPr>
              <w:t xml:space="preserve"> </w:t>
            </w:r>
            <w:r w:rsidRPr="008E0124">
              <w:rPr>
                <w:rFonts w:eastAsia="Calibri" w:hAnsi="Calibri" w:cs="Times New Roman"/>
                <w:b/>
                <w:spacing w:val="-1"/>
                <w:lang w:val="en-US"/>
              </w:rPr>
              <w:t>Date:</w:t>
            </w:r>
          </w:p>
        </w:tc>
        <w:tc>
          <w:tcPr>
            <w:tcW w:w="6095" w:type="dxa"/>
          </w:tcPr>
          <w:p w14:paraId="3677A945" w14:textId="4727156A" w:rsidR="00193313" w:rsidRPr="008E0124" w:rsidRDefault="001F6C65" w:rsidP="00193313">
            <w:pPr>
              <w:widowControl w:val="0"/>
              <w:spacing w:before="0" w:line="240" w:lineRule="auto"/>
              <w:jc w:val="left"/>
              <w:rPr>
                <w:rFonts w:eastAsia="Arial" w:cs="Arial"/>
                <w:lang w:val="en-US"/>
              </w:rPr>
            </w:pPr>
            <w:r w:rsidRPr="008E0124">
              <w:rPr>
                <w:rFonts w:eastAsia="Calibri" w:hAnsi="Calibri" w:cs="Times New Roman"/>
                <w:spacing w:val="-1"/>
                <w:lang w:val="en-US"/>
              </w:rPr>
              <w:t>September 2024</w:t>
            </w:r>
          </w:p>
        </w:tc>
      </w:tr>
      <w:tr w:rsidR="001D0262" w:rsidRPr="00741EF2" w14:paraId="1854572F" w14:textId="77777777" w:rsidTr="00C447BD">
        <w:trPr>
          <w:trHeight w:val="432"/>
        </w:trPr>
        <w:tc>
          <w:tcPr>
            <w:tcW w:w="3164" w:type="dxa"/>
          </w:tcPr>
          <w:p w14:paraId="168E95CB" w14:textId="77777777" w:rsidR="001D0262" w:rsidRPr="008E0124" w:rsidRDefault="001D0262" w:rsidP="00C447BD">
            <w:pPr>
              <w:widowControl w:val="0"/>
              <w:spacing w:before="0" w:line="240" w:lineRule="auto"/>
              <w:jc w:val="left"/>
              <w:rPr>
                <w:rFonts w:eastAsia="Calibri" w:hAnsi="Calibri" w:cs="Times New Roman"/>
                <w:b/>
                <w:spacing w:val="-2"/>
                <w:lang w:val="en-US"/>
              </w:rPr>
            </w:pPr>
            <w:r w:rsidRPr="008E0124">
              <w:rPr>
                <w:rFonts w:eastAsia="Calibri" w:hAnsi="Calibri" w:cs="Times New Roman"/>
                <w:b/>
                <w:spacing w:val="-1"/>
                <w:lang w:val="en-US"/>
              </w:rPr>
              <w:t>List of Referenced Policies:</w:t>
            </w:r>
          </w:p>
        </w:tc>
        <w:tc>
          <w:tcPr>
            <w:tcW w:w="6095" w:type="dxa"/>
          </w:tcPr>
          <w:p w14:paraId="030956D2" w14:textId="722E8327" w:rsidR="00427F76" w:rsidRDefault="008E0124" w:rsidP="00C447BD">
            <w:pPr>
              <w:widowControl w:val="0"/>
              <w:spacing w:before="0" w:line="240" w:lineRule="auto"/>
              <w:jc w:val="left"/>
              <w:rPr>
                <w:rFonts w:eastAsia="Calibri" w:hAnsi="Calibri" w:cs="Times New Roman"/>
                <w:spacing w:val="-1"/>
                <w:lang w:val="en-US"/>
              </w:rPr>
            </w:pPr>
            <w:r w:rsidRPr="008E0124">
              <w:rPr>
                <w:rFonts w:eastAsia="Calibri" w:hAnsi="Calibri" w:cs="Times New Roman"/>
                <w:spacing w:val="-1"/>
                <w:lang w:val="en-US"/>
              </w:rPr>
              <w:t>N/A</w:t>
            </w:r>
          </w:p>
        </w:tc>
      </w:tr>
      <w:tr w:rsidR="001D0262" w:rsidRPr="00741EF2" w14:paraId="59D92D0F" w14:textId="77777777" w:rsidTr="00C447BD">
        <w:trPr>
          <w:trHeight w:val="432"/>
        </w:trPr>
        <w:tc>
          <w:tcPr>
            <w:tcW w:w="3164" w:type="dxa"/>
          </w:tcPr>
          <w:p w14:paraId="76A175F2"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Key Words section (metadata for search facility online)</w:t>
            </w:r>
            <w:r>
              <w:rPr>
                <w:rFonts w:eastAsia="Calibri" w:hAnsi="Calibri" w:cs="Times New Roman"/>
                <w:b/>
                <w:spacing w:val="-1"/>
                <w:lang w:val="en-US"/>
              </w:rPr>
              <w:t>:</w:t>
            </w:r>
          </w:p>
        </w:tc>
        <w:tc>
          <w:tcPr>
            <w:tcW w:w="6095" w:type="dxa"/>
          </w:tcPr>
          <w:p w14:paraId="244188BE" w14:textId="2E359FD9" w:rsidR="003B193C" w:rsidRDefault="001F6C65"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Ethical</w:t>
            </w:r>
          </w:p>
          <w:p w14:paraId="5A4204F9" w14:textId="21F496E3" w:rsidR="001F6C65" w:rsidRDefault="001F6C65"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Ethics</w:t>
            </w:r>
          </w:p>
          <w:p w14:paraId="40ECDCA3" w14:textId="7DB154F0" w:rsidR="001F6C65" w:rsidRDefault="001F6C65"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Decision Making</w:t>
            </w:r>
          </w:p>
        </w:tc>
      </w:tr>
      <w:tr w:rsidR="001D0262" w:rsidRPr="00741EF2" w14:paraId="7BFF1AB9" w14:textId="77777777" w:rsidTr="00C447BD">
        <w:trPr>
          <w:trHeight w:val="432"/>
        </w:trPr>
        <w:tc>
          <w:tcPr>
            <w:tcW w:w="3164" w:type="dxa"/>
          </w:tcPr>
          <w:p w14:paraId="7BA27C1A" w14:textId="77777777" w:rsidR="001D0262" w:rsidRPr="001F6C65" w:rsidRDefault="001D0262" w:rsidP="00C447BD">
            <w:pPr>
              <w:widowControl w:val="0"/>
              <w:spacing w:before="0" w:line="240" w:lineRule="auto"/>
              <w:jc w:val="left"/>
              <w:rPr>
                <w:rFonts w:eastAsia="Calibri" w:hAnsi="Calibri" w:cs="Times New Roman"/>
                <w:b/>
                <w:spacing w:val="-1"/>
                <w:highlight w:val="yellow"/>
                <w:lang w:val="en-US"/>
              </w:rPr>
            </w:pPr>
            <w:r w:rsidRPr="008E0124">
              <w:rPr>
                <w:rFonts w:eastAsia="Calibri" w:hAnsi="Calibri" w:cs="Times New Roman"/>
                <w:b/>
                <w:spacing w:val="-1"/>
                <w:lang w:val="en-US"/>
              </w:rPr>
              <w:t>Reference Number:</w:t>
            </w:r>
          </w:p>
        </w:tc>
        <w:tc>
          <w:tcPr>
            <w:tcW w:w="6095" w:type="dxa"/>
          </w:tcPr>
          <w:p w14:paraId="237FE19D" w14:textId="6F54541C" w:rsidR="001D0262" w:rsidRDefault="008E0124"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CD34</w:t>
            </w:r>
          </w:p>
        </w:tc>
      </w:tr>
      <w:tr w:rsidR="001D0262" w:rsidRPr="00741EF2" w14:paraId="269AA876" w14:textId="77777777" w:rsidTr="00C447BD">
        <w:trPr>
          <w:trHeight w:val="432"/>
        </w:trPr>
        <w:tc>
          <w:tcPr>
            <w:tcW w:w="3164" w:type="dxa"/>
          </w:tcPr>
          <w:p w14:paraId="04B1317C"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Target Audience</w:t>
            </w:r>
            <w:r>
              <w:rPr>
                <w:rFonts w:eastAsia="Calibri" w:hAnsi="Calibri" w:cs="Times New Roman"/>
                <w:b/>
                <w:spacing w:val="-1"/>
                <w:lang w:val="en-US"/>
              </w:rPr>
              <w:t>:</w:t>
            </w:r>
          </w:p>
        </w:tc>
        <w:tc>
          <w:tcPr>
            <w:tcW w:w="6095" w:type="dxa"/>
          </w:tcPr>
          <w:p w14:paraId="1CC40258" w14:textId="0EBB49F0" w:rsidR="001D0262" w:rsidRDefault="00193313" w:rsidP="00C447BD">
            <w:pPr>
              <w:widowControl w:val="0"/>
              <w:spacing w:before="0" w:line="240" w:lineRule="auto"/>
              <w:jc w:val="left"/>
              <w:rPr>
                <w:rFonts w:eastAsia="Calibri" w:hAnsi="Calibri" w:cs="Times New Roman"/>
                <w:spacing w:val="-1"/>
                <w:lang w:val="en-US"/>
              </w:rPr>
            </w:pPr>
            <w:r>
              <w:rPr>
                <w:rFonts w:eastAsia="Arial" w:cs="Arial"/>
                <w:lang w:val="en-US"/>
              </w:rPr>
              <w:t>ICB</w:t>
            </w:r>
            <w:r w:rsidR="001D0262" w:rsidRPr="00A2051A">
              <w:rPr>
                <w:rFonts w:eastAsia="Arial" w:cs="Arial"/>
                <w:lang w:val="en-US"/>
              </w:rPr>
              <w:t xml:space="preserve"> approved policies apply to all employees, contractors, volunteers, and others working with the </w:t>
            </w:r>
            <w:r>
              <w:rPr>
                <w:rFonts w:eastAsia="Arial" w:cs="Arial"/>
                <w:lang w:val="en-US"/>
              </w:rPr>
              <w:t>ICB</w:t>
            </w:r>
            <w:r w:rsidR="001D0262" w:rsidRPr="00A2051A">
              <w:rPr>
                <w:rFonts w:eastAsia="Arial" w:cs="Arial"/>
                <w:lang w:val="en-US"/>
              </w:rPr>
              <w:t xml:space="preserve"> in any capacity.  Compliance with </w:t>
            </w:r>
            <w:r>
              <w:rPr>
                <w:rFonts w:eastAsia="Arial" w:cs="Arial"/>
                <w:lang w:val="en-US"/>
              </w:rPr>
              <w:t>ICB</w:t>
            </w:r>
            <w:r w:rsidR="001D0262" w:rsidRPr="00A2051A">
              <w:rPr>
                <w:rFonts w:eastAsia="Arial" w:cs="Arial"/>
                <w:lang w:val="en-US"/>
              </w:rPr>
              <w:t xml:space="preserve"> policy is a formal contractual requirement</w:t>
            </w:r>
            <w:r w:rsidR="00877DF0">
              <w:rPr>
                <w:rFonts w:eastAsia="Arial" w:cs="Arial"/>
                <w:lang w:val="en-US"/>
              </w:rPr>
              <w:t xml:space="preserve"> and failure to comply with the policy, including any arrangements which are put in place under it, will be investigated and may lead to disciplinary action being taken.</w:t>
            </w:r>
          </w:p>
        </w:tc>
      </w:tr>
    </w:tbl>
    <w:p w14:paraId="163D7D14" w14:textId="77777777" w:rsidR="001D0262" w:rsidRDefault="001D0262" w:rsidP="001D0262">
      <w:pPr>
        <w:pStyle w:val="PoliciesHeading1"/>
        <w:keepNext w:val="0"/>
        <w:numPr>
          <w:ilvl w:val="0"/>
          <w:numId w:val="0"/>
        </w:numPr>
        <w:spacing w:before="0"/>
        <w:ind w:left="142" w:hanging="567"/>
        <w:outlineLvl w:val="0"/>
        <w:rPr>
          <w:rFonts w:eastAsia="Times New Roman" w:cs="Times New Roman"/>
          <w:caps w:val="0"/>
          <w:sz w:val="20"/>
          <w:szCs w:val="20"/>
          <w:lang w:eastAsia="en-GB"/>
        </w:rPr>
      </w:pPr>
    </w:p>
    <w:p w14:paraId="4FF4234F" w14:textId="77777777" w:rsidR="001D0262" w:rsidRPr="0019541B" w:rsidRDefault="001D0262" w:rsidP="001D0262">
      <w:pPr>
        <w:pStyle w:val="PoliciesHeading1"/>
        <w:keepNext w:val="0"/>
        <w:numPr>
          <w:ilvl w:val="0"/>
          <w:numId w:val="0"/>
        </w:numPr>
        <w:spacing w:before="0"/>
        <w:ind w:left="142" w:hanging="567"/>
        <w:outlineLvl w:val="0"/>
        <w:rPr>
          <w:rFonts w:eastAsia="Times New Roman" w:cs="Times New Roman"/>
          <w:caps w:val="0"/>
          <w:sz w:val="20"/>
          <w:szCs w:val="20"/>
          <w:lang w:eastAsia="en-GB"/>
        </w:rPr>
      </w:pPr>
    </w:p>
    <w:p w14:paraId="63FB6CA2" w14:textId="77777777" w:rsidR="001D0262" w:rsidRDefault="001D0262" w:rsidP="00D36127">
      <w:pPr>
        <w:overflowPunct w:val="0"/>
        <w:autoSpaceDE w:val="0"/>
        <w:autoSpaceDN w:val="0"/>
        <w:adjustRightInd w:val="0"/>
        <w:spacing w:before="0" w:line="240" w:lineRule="auto"/>
        <w:jc w:val="center"/>
        <w:textAlignment w:val="baseline"/>
        <w:rPr>
          <w:rFonts w:eastAsia="Times New Roman" w:cs="Times New Roman"/>
          <w:b/>
          <w:szCs w:val="20"/>
          <w:lang w:eastAsia="en-GB"/>
        </w:rPr>
        <w:sectPr w:rsidR="001D0262" w:rsidSect="009D3DD6">
          <w:footerReference w:type="default" r:id="rId11"/>
          <w:pgSz w:w="11906" w:h="16838" w:code="9"/>
          <w:pgMar w:top="1418" w:right="1418" w:bottom="1418" w:left="1418" w:header="851" w:footer="851" w:gutter="0"/>
          <w:cols w:space="708"/>
          <w:docGrid w:linePitch="360"/>
        </w:sectPr>
      </w:pPr>
    </w:p>
    <w:p w14:paraId="3F836203" w14:textId="77777777" w:rsidR="007E5683" w:rsidRPr="00D36127" w:rsidRDefault="00D36127" w:rsidP="00D36127">
      <w:pPr>
        <w:overflowPunct w:val="0"/>
        <w:autoSpaceDE w:val="0"/>
        <w:autoSpaceDN w:val="0"/>
        <w:adjustRightInd w:val="0"/>
        <w:spacing w:before="0" w:line="240" w:lineRule="auto"/>
        <w:jc w:val="center"/>
        <w:textAlignment w:val="baseline"/>
        <w:rPr>
          <w:rFonts w:eastAsia="Times New Roman" w:cs="Times New Roman"/>
          <w:b/>
          <w:sz w:val="24"/>
          <w:szCs w:val="20"/>
          <w:lang w:eastAsia="en-GB"/>
        </w:rPr>
      </w:pPr>
      <w:r w:rsidRPr="00D36127">
        <w:rPr>
          <w:rFonts w:eastAsia="Times New Roman" w:cs="Times New Roman"/>
          <w:b/>
          <w:szCs w:val="20"/>
          <w:lang w:eastAsia="en-GB"/>
        </w:rPr>
        <w:lastRenderedPageBreak/>
        <w:t>CONTENTS</w:t>
      </w:r>
    </w:p>
    <w:p w14:paraId="65F01483" w14:textId="2B4B4A3B" w:rsidR="00F258C7" w:rsidRDefault="00C12E8E">
      <w:pPr>
        <w:pStyle w:val="TOC1"/>
        <w:rPr>
          <w:rFonts w:asciiTheme="minorHAnsi" w:eastAsiaTheme="minorEastAsia" w:hAnsiTheme="minorHAnsi"/>
          <w:noProof/>
          <w:lang w:eastAsia="en-GB"/>
        </w:rPr>
      </w:pPr>
      <w:r>
        <w:rPr>
          <w:rFonts w:eastAsia="Times New Roman" w:cs="Times New Roman"/>
          <w:b/>
          <w:sz w:val="20"/>
          <w:szCs w:val="20"/>
          <w:lang w:eastAsia="en-GB"/>
        </w:rPr>
        <w:fldChar w:fldCharType="begin"/>
      </w:r>
      <w:r>
        <w:rPr>
          <w:rFonts w:eastAsia="Times New Roman" w:cs="Times New Roman"/>
          <w:b/>
          <w:sz w:val="20"/>
          <w:szCs w:val="20"/>
          <w:lang w:eastAsia="en-GB"/>
        </w:rPr>
        <w:instrText xml:space="preserve"> TOC \h \z \t "Policies Heading 1,1,Appendices Heading,1,Policies Heading 2,2" </w:instrText>
      </w:r>
      <w:r>
        <w:rPr>
          <w:rFonts w:eastAsia="Times New Roman" w:cs="Times New Roman"/>
          <w:b/>
          <w:sz w:val="20"/>
          <w:szCs w:val="20"/>
          <w:lang w:eastAsia="en-GB"/>
        </w:rPr>
        <w:fldChar w:fldCharType="separate"/>
      </w:r>
      <w:hyperlink w:anchor="_Toc126829386" w:history="1">
        <w:r w:rsidR="00F258C7" w:rsidRPr="006E1B51">
          <w:rPr>
            <w:rStyle w:val="Hyperlink"/>
            <w:noProof/>
            <w14:scene3d>
              <w14:camera w14:prst="orthographicFront"/>
              <w14:lightRig w14:rig="threePt" w14:dir="t">
                <w14:rot w14:lat="0" w14:lon="0" w14:rev="0"/>
              </w14:lightRig>
            </w14:scene3d>
          </w:rPr>
          <w:t>1.</w:t>
        </w:r>
        <w:r w:rsidR="00F258C7">
          <w:rPr>
            <w:rFonts w:asciiTheme="minorHAnsi" w:eastAsiaTheme="minorEastAsia" w:hAnsiTheme="minorHAnsi"/>
            <w:noProof/>
            <w:lang w:eastAsia="en-GB"/>
          </w:rPr>
          <w:tab/>
        </w:r>
        <w:r w:rsidR="00F258C7" w:rsidRPr="006E1B51">
          <w:rPr>
            <w:rStyle w:val="Hyperlink"/>
            <w:noProof/>
          </w:rPr>
          <w:t>Introduction</w:t>
        </w:r>
        <w:r w:rsidR="00F258C7">
          <w:rPr>
            <w:noProof/>
            <w:webHidden/>
          </w:rPr>
          <w:tab/>
        </w:r>
        <w:r w:rsidR="00F258C7">
          <w:rPr>
            <w:noProof/>
            <w:webHidden/>
          </w:rPr>
          <w:fldChar w:fldCharType="begin"/>
        </w:r>
        <w:r w:rsidR="00F258C7">
          <w:rPr>
            <w:noProof/>
            <w:webHidden/>
          </w:rPr>
          <w:instrText xml:space="preserve"> PAGEREF _Toc126829386 \h </w:instrText>
        </w:r>
        <w:r w:rsidR="00F258C7">
          <w:rPr>
            <w:noProof/>
            <w:webHidden/>
          </w:rPr>
        </w:r>
        <w:r w:rsidR="00F258C7">
          <w:rPr>
            <w:noProof/>
            <w:webHidden/>
          </w:rPr>
          <w:fldChar w:fldCharType="separate"/>
        </w:r>
        <w:r w:rsidR="0013544A">
          <w:rPr>
            <w:noProof/>
            <w:webHidden/>
          </w:rPr>
          <w:t>4</w:t>
        </w:r>
        <w:r w:rsidR="00F258C7">
          <w:rPr>
            <w:noProof/>
            <w:webHidden/>
          </w:rPr>
          <w:fldChar w:fldCharType="end"/>
        </w:r>
      </w:hyperlink>
    </w:p>
    <w:p w14:paraId="464FDC20" w14:textId="7731ABFD" w:rsidR="00F258C7" w:rsidRDefault="00DF580B">
      <w:pPr>
        <w:pStyle w:val="TOC1"/>
        <w:rPr>
          <w:rFonts w:asciiTheme="minorHAnsi" w:eastAsiaTheme="minorEastAsia" w:hAnsiTheme="minorHAnsi"/>
          <w:noProof/>
          <w:lang w:eastAsia="en-GB"/>
        </w:rPr>
      </w:pPr>
      <w:hyperlink w:anchor="_Toc126829387" w:history="1">
        <w:r w:rsidR="00F258C7" w:rsidRPr="006E1B51">
          <w:rPr>
            <w:rStyle w:val="Hyperlink"/>
            <w:noProof/>
            <w14:scene3d>
              <w14:camera w14:prst="orthographicFront"/>
              <w14:lightRig w14:rig="threePt" w14:dir="t">
                <w14:rot w14:lat="0" w14:lon="0" w14:rev="0"/>
              </w14:lightRig>
            </w14:scene3d>
          </w:rPr>
          <w:t>2.</w:t>
        </w:r>
        <w:r w:rsidR="00F258C7">
          <w:rPr>
            <w:rFonts w:asciiTheme="minorHAnsi" w:eastAsiaTheme="minorEastAsia" w:hAnsiTheme="minorHAnsi"/>
            <w:noProof/>
            <w:lang w:eastAsia="en-GB"/>
          </w:rPr>
          <w:tab/>
        </w:r>
        <w:r w:rsidR="00F258C7" w:rsidRPr="006E1B51">
          <w:rPr>
            <w:rStyle w:val="Hyperlink"/>
            <w:noProof/>
          </w:rPr>
          <w:t>Purpose of the Ethical Framework</w:t>
        </w:r>
        <w:r w:rsidR="00F258C7">
          <w:rPr>
            <w:noProof/>
            <w:webHidden/>
          </w:rPr>
          <w:tab/>
        </w:r>
        <w:r w:rsidR="00F258C7">
          <w:rPr>
            <w:noProof/>
            <w:webHidden/>
          </w:rPr>
          <w:fldChar w:fldCharType="begin"/>
        </w:r>
        <w:r w:rsidR="00F258C7">
          <w:rPr>
            <w:noProof/>
            <w:webHidden/>
          </w:rPr>
          <w:instrText xml:space="preserve"> PAGEREF _Toc126829387 \h </w:instrText>
        </w:r>
        <w:r w:rsidR="00F258C7">
          <w:rPr>
            <w:noProof/>
            <w:webHidden/>
          </w:rPr>
        </w:r>
        <w:r w:rsidR="00F258C7">
          <w:rPr>
            <w:noProof/>
            <w:webHidden/>
          </w:rPr>
          <w:fldChar w:fldCharType="separate"/>
        </w:r>
        <w:r w:rsidR="0013544A">
          <w:rPr>
            <w:noProof/>
            <w:webHidden/>
          </w:rPr>
          <w:t>4</w:t>
        </w:r>
        <w:r w:rsidR="00F258C7">
          <w:rPr>
            <w:noProof/>
            <w:webHidden/>
          </w:rPr>
          <w:fldChar w:fldCharType="end"/>
        </w:r>
      </w:hyperlink>
    </w:p>
    <w:p w14:paraId="00BC9F1B" w14:textId="6063E8A8" w:rsidR="00F258C7" w:rsidRDefault="00DF580B">
      <w:pPr>
        <w:pStyle w:val="TOC1"/>
        <w:rPr>
          <w:rFonts w:asciiTheme="minorHAnsi" w:eastAsiaTheme="minorEastAsia" w:hAnsiTheme="minorHAnsi"/>
          <w:noProof/>
          <w:lang w:eastAsia="en-GB"/>
        </w:rPr>
      </w:pPr>
      <w:hyperlink w:anchor="_Toc126829388" w:history="1">
        <w:r w:rsidR="00F258C7" w:rsidRPr="006E1B51">
          <w:rPr>
            <w:rStyle w:val="Hyperlink"/>
            <w:noProof/>
            <w14:scene3d>
              <w14:camera w14:prst="orthographicFront"/>
              <w14:lightRig w14:rig="threePt" w14:dir="t">
                <w14:rot w14:lat="0" w14:lon="0" w14:rev="0"/>
              </w14:lightRig>
            </w14:scene3d>
          </w:rPr>
          <w:t>3.</w:t>
        </w:r>
        <w:r w:rsidR="00F258C7">
          <w:rPr>
            <w:rFonts w:asciiTheme="minorHAnsi" w:eastAsiaTheme="minorEastAsia" w:hAnsiTheme="minorHAnsi"/>
            <w:noProof/>
            <w:lang w:eastAsia="en-GB"/>
          </w:rPr>
          <w:tab/>
        </w:r>
        <w:r w:rsidR="00F258C7" w:rsidRPr="006E1B51">
          <w:rPr>
            <w:rStyle w:val="Hyperlink"/>
            <w:noProof/>
          </w:rPr>
          <w:t>Principles of the Ethical Framework</w:t>
        </w:r>
        <w:r w:rsidR="00F258C7">
          <w:rPr>
            <w:noProof/>
            <w:webHidden/>
          </w:rPr>
          <w:tab/>
        </w:r>
        <w:r w:rsidR="00F258C7">
          <w:rPr>
            <w:noProof/>
            <w:webHidden/>
          </w:rPr>
          <w:fldChar w:fldCharType="begin"/>
        </w:r>
        <w:r w:rsidR="00F258C7">
          <w:rPr>
            <w:noProof/>
            <w:webHidden/>
          </w:rPr>
          <w:instrText xml:space="preserve"> PAGEREF _Toc126829388 \h </w:instrText>
        </w:r>
        <w:r w:rsidR="00F258C7">
          <w:rPr>
            <w:noProof/>
            <w:webHidden/>
          </w:rPr>
        </w:r>
        <w:r w:rsidR="00F258C7">
          <w:rPr>
            <w:noProof/>
            <w:webHidden/>
          </w:rPr>
          <w:fldChar w:fldCharType="separate"/>
        </w:r>
        <w:r w:rsidR="0013544A">
          <w:rPr>
            <w:noProof/>
            <w:webHidden/>
          </w:rPr>
          <w:t>5</w:t>
        </w:r>
        <w:r w:rsidR="00F258C7">
          <w:rPr>
            <w:noProof/>
            <w:webHidden/>
          </w:rPr>
          <w:fldChar w:fldCharType="end"/>
        </w:r>
      </w:hyperlink>
    </w:p>
    <w:p w14:paraId="5F307C5D" w14:textId="098AF7DE" w:rsidR="00F258C7" w:rsidRDefault="00DF580B">
      <w:pPr>
        <w:pStyle w:val="TOC2"/>
        <w:rPr>
          <w:rFonts w:asciiTheme="minorHAnsi" w:eastAsiaTheme="minorEastAsia" w:hAnsiTheme="minorHAnsi"/>
          <w:noProof/>
          <w:lang w:eastAsia="en-GB"/>
        </w:rPr>
      </w:pPr>
      <w:hyperlink w:anchor="_Toc126829389" w:history="1">
        <w:r w:rsidR="00F258C7" w:rsidRPr="006E1B51">
          <w:rPr>
            <w:rStyle w:val="Hyperlink"/>
            <w:noProof/>
          </w:rPr>
          <w:t>3.1</w:t>
        </w:r>
        <w:r w:rsidR="00F258C7">
          <w:rPr>
            <w:rFonts w:asciiTheme="minorHAnsi" w:eastAsiaTheme="minorEastAsia" w:hAnsiTheme="minorHAnsi"/>
            <w:noProof/>
            <w:lang w:eastAsia="en-GB"/>
          </w:rPr>
          <w:tab/>
        </w:r>
        <w:r w:rsidR="00F258C7" w:rsidRPr="006E1B51">
          <w:rPr>
            <w:rStyle w:val="Hyperlink"/>
            <w:noProof/>
          </w:rPr>
          <w:t>Standards of Business Conduct, Transparency and Accountability</w:t>
        </w:r>
        <w:r w:rsidR="00F258C7">
          <w:rPr>
            <w:noProof/>
            <w:webHidden/>
          </w:rPr>
          <w:tab/>
        </w:r>
        <w:r w:rsidR="00F258C7">
          <w:rPr>
            <w:noProof/>
            <w:webHidden/>
          </w:rPr>
          <w:fldChar w:fldCharType="begin"/>
        </w:r>
        <w:r w:rsidR="00F258C7">
          <w:rPr>
            <w:noProof/>
            <w:webHidden/>
          </w:rPr>
          <w:instrText xml:space="preserve"> PAGEREF _Toc126829389 \h </w:instrText>
        </w:r>
        <w:r w:rsidR="00F258C7">
          <w:rPr>
            <w:noProof/>
            <w:webHidden/>
          </w:rPr>
        </w:r>
        <w:r w:rsidR="00F258C7">
          <w:rPr>
            <w:noProof/>
            <w:webHidden/>
          </w:rPr>
          <w:fldChar w:fldCharType="separate"/>
        </w:r>
        <w:r w:rsidR="0013544A">
          <w:rPr>
            <w:noProof/>
            <w:webHidden/>
          </w:rPr>
          <w:t>5</w:t>
        </w:r>
        <w:r w:rsidR="00F258C7">
          <w:rPr>
            <w:noProof/>
            <w:webHidden/>
          </w:rPr>
          <w:fldChar w:fldCharType="end"/>
        </w:r>
      </w:hyperlink>
    </w:p>
    <w:p w14:paraId="621FE668" w14:textId="6F34E95E" w:rsidR="00F258C7" w:rsidRDefault="00DF580B">
      <w:pPr>
        <w:pStyle w:val="TOC2"/>
        <w:rPr>
          <w:rFonts w:asciiTheme="minorHAnsi" w:eastAsiaTheme="minorEastAsia" w:hAnsiTheme="minorHAnsi"/>
          <w:noProof/>
          <w:lang w:eastAsia="en-GB"/>
        </w:rPr>
      </w:pPr>
      <w:hyperlink w:anchor="_Toc126829390" w:history="1">
        <w:r w:rsidR="00F258C7" w:rsidRPr="006E1B51">
          <w:rPr>
            <w:rStyle w:val="Hyperlink"/>
            <w:noProof/>
          </w:rPr>
          <w:t>3.2</w:t>
        </w:r>
        <w:r w:rsidR="00F258C7">
          <w:rPr>
            <w:rFonts w:asciiTheme="minorHAnsi" w:eastAsiaTheme="minorEastAsia" w:hAnsiTheme="minorHAnsi"/>
            <w:noProof/>
            <w:lang w:eastAsia="en-GB"/>
          </w:rPr>
          <w:tab/>
        </w:r>
        <w:r w:rsidR="00F258C7" w:rsidRPr="006E1B51">
          <w:rPr>
            <w:rStyle w:val="Hyperlink"/>
            <w:noProof/>
          </w:rPr>
          <w:t>Consistency in demonstrating values and principles</w:t>
        </w:r>
        <w:r w:rsidR="00F258C7">
          <w:rPr>
            <w:noProof/>
            <w:webHidden/>
          </w:rPr>
          <w:tab/>
        </w:r>
        <w:r w:rsidR="00F258C7">
          <w:rPr>
            <w:noProof/>
            <w:webHidden/>
          </w:rPr>
          <w:fldChar w:fldCharType="begin"/>
        </w:r>
        <w:r w:rsidR="00F258C7">
          <w:rPr>
            <w:noProof/>
            <w:webHidden/>
          </w:rPr>
          <w:instrText xml:space="preserve"> PAGEREF _Toc126829390 \h </w:instrText>
        </w:r>
        <w:r w:rsidR="00F258C7">
          <w:rPr>
            <w:noProof/>
            <w:webHidden/>
          </w:rPr>
        </w:r>
        <w:r w:rsidR="00F258C7">
          <w:rPr>
            <w:noProof/>
            <w:webHidden/>
          </w:rPr>
          <w:fldChar w:fldCharType="separate"/>
        </w:r>
        <w:r w:rsidR="0013544A">
          <w:rPr>
            <w:noProof/>
            <w:webHidden/>
          </w:rPr>
          <w:t>6</w:t>
        </w:r>
        <w:r w:rsidR="00F258C7">
          <w:rPr>
            <w:noProof/>
            <w:webHidden/>
          </w:rPr>
          <w:fldChar w:fldCharType="end"/>
        </w:r>
      </w:hyperlink>
    </w:p>
    <w:p w14:paraId="7CD71B4A" w14:textId="5D67FD25" w:rsidR="00F258C7" w:rsidRDefault="00DF580B">
      <w:pPr>
        <w:pStyle w:val="TOC2"/>
        <w:rPr>
          <w:rFonts w:asciiTheme="minorHAnsi" w:eastAsiaTheme="minorEastAsia" w:hAnsiTheme="minorHAnsi"/>
          <w:noProof/>
          <w:lang w:eastAsia="en-GB"/>
        </w:rPr>
      </w:pPr>
      <w:hyperlink w:anchor="_Toc126829391" w:history="1">
        <w:r w:rsidR="00F258C7" w:rsidRPr="006E1B51">
          <w:rPr>
            <w:rStyle w:val="Hyperlink"/>
            <w:noProof/>
          </w:rPr>
          <w:t>3.3</w:t>
        </w:r>
        <w:r w:rsidR="00F258C7">
          <w:rPr>
            <w:rFonts w:asciiTheme="minorHAnsi" w:eastAsiaTheme="minorEastAsia" w:hAnsiTheme="minorHAnsi"/>
            <w:noProof/>
            <w:lang w:eastAsia="en-GB"/>
          </w:rPr>
          <w:tab/>
        </w:r>
        <w:r w:rsidR="00F258C7" w:rsidRPr="006E1B51">
          <w:rPr>
            <w:rStyle w:val="Hyperlink"/>
            <w:noProof/>
          </w:rPr>
          <w:t>Our approach to decision making</w:t>
        </w:r>
        <w:r w:rsidR="00F258C7">
          <w:rPr>
            <w:noProof/>
            <w:webHidden/>
          </w:rPr>
          <w:tab/>
        </w:r>
        <w:r w:rsidR="00F258C7">
          <w:rPr>
            <w:noProof/>
            <w:webHidden/>
          </w:rPr>
          <w:fldChar w:fldCharType="begin"/>
        </w:r>
        <w:r w:rsidR="00F258C7">
          <w:rPr>
            <w:noProof/>
            <w:webHidden/>
          </w:rPr>
          <w:instrText xml:space="preserve"> PAGEREF _Toc126829391 \h </w:instrText>
        </w:r>
        <w:r w:rsidR="00F258C7">
          <w:rPr>
            <w:noProof/>
            <w:webHidden/>
          </w:rPr>
        </w:r>
        <w:r w:rsidR="00F258C7">
          <w:rPr>
            <w:noProof/>
            <w:webHidden/>
          </w:rPr>
          <w:fldChar w:fldCharType="separate"/>
        </w:r>
        <w:r w:rsidR="0013544A">
          <w:rPr>
            <w:noProof/>
            <w:webHidden/>
          </w:rPr>
          <w:t>6</w:t>
        </w:r>
        <w:r w:rsidR="00F258C7">
          <w:rPr>
            <w:noProof/>
            <w:webHidden/>
          </w:rPr>
          <w:fldChar w:fldCharType="end"/>
        </w:r>
      </w:hyperlink>
    </w:p>
    <w:p w14:paraId="633EDB38" w14:textId="4BE98621" w:rsidR="00F258C7" w:rsidRDefault="00DF580B">
      <w:pPr>
        <w:pStyle w:val="TOC2"/>
        <w:rPr>
          <w:rFonts w:asciiTheme="minorHAnsi" w:eastAsiaTheme="minorEastAsia" w:hAnsiTheme="minorHAnsi"/>
          <w:noProof/>
          <w:lang w:eastAsia="en-GB"/>
        </w:rPr>
      </w:pPr>
      <w:hyperlink w:anchor="_Toc126829392" w:history="1">
        <w:r w:rsidR="00F258C7" w:rsidRPr="006E1B51">
          <w:rPr>
            <w:rStyle w:val="Hyperlink"/>
            <w:noProof/>
          </w:rPr>
          <w:t>3.4</w:t>
        </w:r>
        <w:r w:rsidR="00F258C7">
          <w:rPr>
            <w:rFonts w:asciiTheme="minorHAnsi" w:eastAsiaTheme="minorEastAsia" w:hAnsiTheme="minorHAnsi"/>
            <w:noProof/>
            <w:lang w:eastAsia="en-GB"/>
          </w:rPr>
          <w:tab/>
        </w:r>
        <w:r w:rsidR="00F258C7" w:rsidRPr="006E1B51">
          <w:rPr>
            <w:rStyle w:val="Hyperlink"/>
            <w:noProof/>
          </w:rPr>
          <w:t>Evidence of clinical and cost effectiveness</w:t>
        </w:r>
        <w:r w:rsidR="00F258C7">
          <w:rPr>
            <w:noProof/>
            <w:webHidden/>
          </w:rPr>
          <w:tab/>
        </w:r>
        <w:r w:rsidR="00F258C7">
          <w:rPr>
            <w:noProof/>
            <w:webHidden/>
          </w:rPr>
          <w:fldChar w:fldCharType="begin"/>
        </w:r>
        <w:r w:rsidR="00F258C7">
          <w:rPr>
            <w:noProof/>
            <w:webHidden/>
          </w:rPr>
          <w:instrText xml:space="preserve"> PAGEREF _Toc126829392 \h </w:instrText>
        </w:r>
        <w:r w:rsidR="00F258C7">
          <w:rPr>
            <w:noProof/>
            <w:webHidden/>
          </w:rPr>
        </w:r>
        <w:r w:rsidR="00F258C7">
          <w:rPr>
            <w:noProof/>
            <w:webHidden/>
          </w:rPr>
          <w:fldChar w:fldCharType="separate"/>
        </w:r>
        <w:r w:rsidR="0013544A">
          <w:rPr>
            <w:noProof/>
            <w:webHidden/>
          </w:rPr>
          <w:t>7</w:t>
        </w:r>
        <w:r w:rsidR="00F258C7">
          <w:rPr>
            <w:noProof/>
            <w:webHidden/>
          </w:rPr>
          <w:fldChar w:fldCharType="end"/>
        </w:r>
      </w:hyperlink>
    </w:p>
    <w:p w14:paraId="7D6CDE90" w14:textId="4B8998E1" w:rsidR="00F258C7" w:rsidRDefault="00DF580B">
      <w:pPr>
        <w:pStyle w:val="TOC2"/>
        <w:rPr>
          <w:rFonts w:asciiTheme="minorHAnsi" w:eastAsiaTheme="minorEastAsia" w:hAnsiTheme="minorHAnsi"/>
          <w:noProof/>
          <w:lang w:eastAsia="en-GB"/>
        </w:rPr>
      </w:pPr>
      <w:hyperlink w:anchor="_Toc126829393" w:history="1">
        <w:r w:rsidR="00F258C7" w:rsidRPr="006E1B51">
          <w:rPr>
            <w:rStyle w:val="Hyperlink"/>
            <w:noProof/>
          </w:rPr>
          <w:t>3.5</w:t>
        </w:r>
        <w:r w:rsidR="00F258C7">
          <w:rPr>
            <w:rFonts w:asciiTheme="minorHAnsi" w:eastAsiaTheme="minorEastAsia" w:hAnsiTheme="minorHAnsi"/>
            <w:noProof/>
            <w:lang w:eastAsia="en-GB"/>
          </w:rPr>
          <w:tab/>
        </w:r>
        <w:r w:rsidR="00F258C7" w:rsidRPr="006E1B51">
          <w:rPr>
            <w:rStyle w:val="Hyperlink"/>
            <w:noProof/>
          </w:rPr>
          <w:t>Equity</w:t>
        </w:r>
        <w:r w:rsidR="00F258C7">
          <w:rPr>
            <w:noProof/>
            <w:webHidden/>
          </w:rPr>
          <w:tab/>
        </w:r>
        <w:r w:rsidR="00F258C7">
          <w:rPr>
            <w:noProof/>
            <w:webHidden/>
          </w:rPr>
          <w:fldChar w:fldCharType="begin"/>
        </w:r>
        <w:r w:rsidR="00F258C7">
          <w:rPr>
            <w:noProof/>
            <w:webHidden/>
          </w:rPr>
          <w:instrText xml:space="preserve"> PAGEREF _Toc126829393 \h </w:instrText>
        </w:r>
        <w:r w:rsidR="00F258C7">
          <w:rPr>
            <w:noProof/>
            <w:webHidden/>
          </w:rPr>
        </w:r>
        <w:r w:rsidR="00F258C7">
          <w:rPr>
            <w:noProof/>
            <w:webHidden/>
          </w:rPr>
          <w:fldChar w:fldCharType="separate"/>
        </w:r>
        <w:r w:rsidR="0013544A">
          <w:rPr>
            <w:noProof/>
            <w:webHidden/>
          </w:rPr>
          <w:t>7</w:t>
        </w:r>
        <w:r w:rsidR="00F258C7">
          <w:rPr>
            <w:noProof/>
            <w:webHidden/>
          </w:rPr>
          <w:fldChar w:fldCharType="end"/>
        </w:r>
      </w:hyperlink>
    </w:p>
    <w:p w14:paraId="54A337BE" w14:textId="6A6D93E9" w:rsidR="00F258C7" w:rsidRDefault="00DF580B">
      <w:pPr>
        <w:pStyle w:val="TOC2"/>
        <w:rPr>
          <w:rFonts w:asciiTheme="minorHAnsi" w:eastAsiaTheme="minorEastAsia" w:hAnsiTheme="minorHAnsi"/>
          <w:noProof/>
          <w:lang w:eastAsia="en-GB"/>
        </w:rPr>
      </w:pPr>
      <w:hyperlink w:anchor="_Toc126829394" w:history="1">
        <w:r w:rsidR="00F258C7" w:rsidRPr="006E1B51">
          <w:rPr>
            <w:rStyle w:val="Hyperlink"/>
            <w:noProof/>
          </w:rPr>
          <w:t>3.6</w:t>
        </w:r>
        <w:r w:rsidR="00F258C7">
          <w:rPr>
            <w:rFonts w:asciiTheme="minorHAnsi" w:eastAsiaTheme="minorEastAsia" w:hAnsiTheme="minorHAnsi"/>
            <w:noProof/>
            <w:lang w:eastAsia="en-GB"/>
          </w:rPr>
          <w:tab/>
        </w:r>
        <w:r w:rsidR="00F258C7" w:rsidRPr="006E1B51">
          <w:rPr>
            <w:rStyle w:val="Hyperlink"/>
            <w:noProof/>
          </w:rPr>
          <w:t>Health care need and capacity to benefit</w:t>
        </w:r>
        <w:r w:rsidR="00F258C7">
          <w:rPr>
            <w:noProof/>
            <w:webHidden/>
          </w:rPr>
          <w:tab/>
        </w:r>
        <w:r w:rsidR="00F258C7">
          <w:rPr>
            <w:noProof/>
            <w:webHidden/>
          </w:rPr>
          <w:fldChar w:fldCharType="begin"/>
        </w:r>
        <w:r w:rsidR="00F258C7">
          <w:rPr>
            <w:noProof/>
            <w:webHidden/>
          </w:rPr>
          <w:instrText xml:space="preserve"> PAGEREF _Toc126829394 \h </w:instrText>
        </w:r>
        <w:r w:rsidR="00F258C7">
          <w:rPr>
            <w:noProof/>
            <w:webHidden/>
          </w:rPr>
        </w:r>
        <w:r w:rsidR="00F258C7">
          <w:rPr>
            <w:noProof/>
            <w:webHidden/>
          </w:rPr>
          <w:fldChar w:fldCharType="separate"/>
        </w:r>
        <w:r w:rsidR="0013544A">
          <w:rPr>
            <w:noProof/>
            <w:webHidden/>
          </w:rPr>
          <w:t>8</w:t>
        </w:r>
        <w:r w:rsidR="00F258C7">
          <w:rPr>
            <w:noProof/>
            <w:webHidden/>
          </w:rPr>
          <w:fldChar w:fldCharType="end"/>
        </w:r>
      </w:hyperlink>
    </w:p>
    <w:p w14:paraId="149E5090" w14:textId="36BC4C4B" w:rsidR="00F258C7" w:rsidRDefault="00DF580B">
      <w:pPr>
        <w:pStyle w:val="TOC2"/>
        <w:rPr>
          <w:rFonts w:asciiTheme="minorHAnsi" w:eastAsiaTheme="minorEastAsia" w:hAnsiTheme="minorHAnsi"/>
          <w:noProof/>
          <w:lang w:eastAsia="en-GB"/>
        </w:rPr>
      </w:pPr>
      <w:hyperlink w:anchor="_Toc126829395" w:history="1">
        <w:r w:rsidR="00F258C7" w:rsidRPr="006E1B51">
          <w:rPr>
            <w:rStyle w:val="Hyperlink"/>
            <w:noProof/>
          </w:rPr>
          <w:t>3.7</w:t>
        </w:r>
        <w:r w:rsidR="00F258C7">
          <w:rPr>
            <w:rFonts w:asciiTheme="minorHAnsi" w:eastAsiaTheme="minorEastAsia" w:hAnsiTheme="minorHAnsi"/>
            <w:noProof/>
            <w:lang w:eastAsia="en-GB"/>
          </w:rPr>
          <w:tab/>
        </w:r>
        <w:r w:rsidR="00F258C7" w:rsidRPr="006E1B51">
          <w:rPr>
            <w:rStyle w:val="Hyperlink"/>
            <w:noProof/>
          </w:rPr>
          <w:t>Cost of treatment and opportunity costs</w:t>
        </w:r>
        <w:r w:rsidR="00F258C7">
          <w:rPr>
            <w:noProof/>
            <w:webHidden/>
          </w:rPr>
          <w:tab/>
        </w:r>
        <w:r w:rsidR="00F258C7">
          <w:rPr>
            <w:noProof/>
            <w:webHidden/>
          </w:rPr>
          <w:fldChar w:fldCharType="begin"/>
        </w:r>
        <w:r w:rsidR="00F258C7">
          <w:rPr>
            <w:noProof/>
            <w:webHidden/>
          </w:rPr>
          <w:instrText xml:space="preserve"> PAGEREF _Toc126829395 \h </w:instrText>
        </w:r>
        <w:r w:rsidR="00F258C7">
          <w:rPr>
            <w:noProof/>
            <w:webHidden/>
          </w:rPr>
        </w:r>
        <w:r w:rsidR="00F258C7">
          <w:rPr>
            <w:noProof/>
            <w:webHidden/>
          </w:rPr>
          <w:fldChar w:fldCharType="separate"/>
        </w:r>
        <w:r w:rsidR="0013544A">
          <w:rPr>
            <w:noProof/>
            <w:webHidden/>
          </w:rPr>
          <w:t>8</w:t>
        </w:r>
        <w:r w:rsidR="00F258C7">
          <w:rPr>
            <w:noProof/>
            <w:webHidden/>
          </w:rPr>
          <w:fldChar w:fldCharType="end"/>
        </w:r>
      </w:hyperlink>
    </w:p>
    <w:p w14:paraId="1885644E" w14:textId="79573D79" w:rsidR="00F258C7" w:rsidRDefault="00DF580B">
      <w:pPr>
        <w:pStyle w:val="TOC2"/>
        <w:rPr>
          <w:rFonts w:asciiTheme="minorHAnsi" w:eastAsiaTheme="minorEastAsia" w:hAnsiTheme="minorHAnsi"/>
          <w:noProof/>
          <w:lang w:eastAsia="en-GB"/>
        </w:rPr>
      </w:pPr>
      <w:hyperlink w:anchor="_Toc126829396" w:history="1">
        <w:r w:rsidR="00F258C7" w:rsidRPr="006E1B51">
          <w:rPr>
            <w:rStyle w:val="Hyperlink"/>
            <w:noProof/>
          </w:rPr>
          <w:t>3.8</w:t>
        </w:r>
        <w:r w:rsidR="00F258C7">
          <w:rPr>
            <w:rFonts w:asciiTheme="minorHAnsi" w:eastAsiaTheme="minorEastAsia" w:hAnsiTheme="minorHAnsi"/>
            <w:noProof/>
            <w:lang w:eastAsia="en-GB"/>
          </w:rPr>
          <w:tab/>
        </w:r>
        <w:r w:rsidR="00F258C7" w:rsidRPr="006E1B51">
          <w:rPr>
            <w:rStyle w:val="Hyperlink"/>
            <w:noProof/>
          </w:rPr>
          <w:t>Needs of the Community</w:t>
        </w:r>
        <w:r w:rsidR="00F258C7">
          <w:rPr>
            <w:noProof/>
            <w:webHidden/>
          </w:rPr>
          <w:tab/>
        </w:r>
        <w:r w:rsidR="00F258C7">
          <w:rPr>
            <w:noProof/>
            <w:webHidden/>
          </w:rPr>
          <w:fldChar w:fldCharType="begin"/>
        </w:r>
        <w:r w:rsidR="00F258C7">
          <w:rPr>
            <w:noProof/>
            <w:webHidden/>
          </w:rPr>
          <w:instrText xml:space="preserve"> PAGEREF _Toc126829396 \h </w:instrText>
        </w:r>
        <w:r w:rsidR="00F258C7">
          <w:rPr>
            <w:noProof/>
            <w:webHidden/>
          </w:rPr>
        </w:r>
        <w:r w:rsidR="00F258C7">
          <w:rPr>
            <w:noProof/>
            <w:webHidden/>
          </w:rPr>
          <w:fldChar w:fldCharType="separate"/>
        </w:r>
        <w:r w:rsidR="0013544A">
          <w:rPr>
            <w:noProof/>
            <w:webHidden/>
          </w:rPr>
          <w:t>8</w:t>
        </w:r>
        <w:r w:rsidR="00F258C7">
          <w:rPr>
            <w:noProof/>
            <w:webHidden/>
          </w:rPr>
          <w:fldChar w:fldCharType="end"/>
        </w:r>
      </w:hyperlink>
    </w:p>
    <w:p w14:paraId="5065BC75" w14:textId="35132658" w:rsidR="00F258C7" w:rsidRDefault="00DF580B">
      <w:pPr>
        <w:pStyle w:val="TOC2"/>
        <w:rPr>
          <w:rFonts w:asciiTheme="minorHAnsi" w:eastAsiaTheme="minorEastAsia" w:hAnsiTheme="minorHAnsi"/>
          <w:noProof/>
          <w:lang w:eastAsia="en-GB"/>
        </w:rPr>
      </w:pPr>
      <w:hyperlink w:anchor="_Toc126829397" w:history="1">
        <w:r w:rsidR="00F258C7" w:rsidRPr="006E1B51">
          <w:rPr>
            <w:rStyle w:val="Hyperlink"/>
            <w:noProof/>
          </w:rPr>
          <w:t>3.9</w:t>
        </w:r>
        <w:r w:rsidR="00F258C7">
          <w:rPr>
            <w:rFonts w:asciiTheme="minorHAnsi" w:eastAsiaTheme="minorEastAsia" w:hAnsiTheme="minorHAnsi"/>
            <w:noProof/>
            <w:lang w:eastAsia="en-GB"/>
          </w:rPr>
          <w:tab/>
        </w:r>
        <w:r w:rsidR="00F258C7" w:rsidRPr="006E1B51">
          <w:rPr>
            <w:rStyle w:val="Hyperlink"/>
            <w:noProof/>
          </w:rPr>
          <w:t>Policy Driver/Strategic Fit</w:t>
        </w:r>
        <w:r w:rsidR="00F258C7">
          <w:rPr>
            <w:noProof/>
            <w:webHidden/>
          </w:rPr>
          <w:tab/>
        </w:r>
        <w:r w:rsidR="00F258C7">
          <w:rPr>
            <w:noProof/>
            <w:webHidden/>
          </w:rPr>
          <w:fldChar w:fldCharType="begin"/>
        </w:r>
        <w:r w:rsidR="00F258C7">
          <w:rPr>
            <w:noProof/>
            <w:webHidden/>
          </w:rPr>
          <w:instrText xml:space="preserve"> PAGEREF _Toc126829397 \h </w:instrText>
        </w:r>
        <w:r w:rsidR="00F258C7">
          <w:rPr>
            <w:noProof/>
            <w:webHidden/>
          </w:rPr>
        </w:r>
        <w:r w:rsidR="00F258C7">
          <w:rPr>
            <w:noProof/>
            <w:webHidden/>
          </w:rPr>
          <w:fldChar w:fldCharType="separate"/>
        </w:r>
        <w:r w:rsidR="0013544A">
          <w:rPr>
            <w:noProof/>
            <w:webHidden/>
          </w:rPr>
          <w:t>9</w:t>
        </w:r>
        <w:r w:rsidR="00F258C7">
          <w:rPr>
            <w:noProof/>
            <w:webHidden/>
          </w:rPr>
          <w:fldChar w:fldCharType="end"/>
        </w:r>
      </w:hyperlink>
    </w:p>
    <w:p w14:paraId="69FBB037" w14:textId="06A6641C" w:rsidR="00F258C7" w:rsidRDefault="00DF580B">
      <w:pPr>
        <w:pStyle w:val="TOC2"/>
        <w:rPr>
          <w:rFonts w:asciiTheme="minorHAnsi" w:eastAsiaTheme="minorEastAsia" w:hAnsiTheme="minorHAnsi"/>
          <w:noProof/>
          <w:lang w:eastAsia="en-GB"/>
        </w:rPr>
      </w:pPr>
      <w:hyperlink w:anchor="_Toc126829398" w:history="1">
        <w:r w:rsidR="00F258C7" w:rsidRPr="006E1B51">
          <w:rPr>
            <w:rStyle w:val="Hyperlink"/>
            <w:noProof/>
          </w:rPr>
          <w:t>3.10</w:t>
        </w:r>
        <w:r w:rsidR="00F258C7">
          <w:rPr>
            <w:rFonts w:asciiTheme="minorHAnsi" w:eastAsiaTheme="minorEastAsia" w:hAnsiTheme="minorHAnsi"/>
            <w:noProof/>
            <w:lang w:eastAsia="en-GB"/>
          </w:rPr>
          <w:tab/>
        </w:r>
        <w:r w:rsidR="00F258C7" w:rsidRPr="006E1B51">
          <w:rPr>
            <w:rStyle w:val="Hyperlink"/>
            <w:noProof/>
          </w:rPr>
          <w:t>Exceptional Need</w:t>
        </w:r>
        <w:r w:rsidR="00F258C7">
          <w:rPr>
            <w:noProof/>
            <w:webHidden/>
          </w:rPr>
          <w:tab/>
        </w:r>
        <w:r w:rsidR="00F258C7">
          <w:rPr>
            <w:noProof/>
            <w:webHidden/>
          </w:rPr>
          <w:fldChar w:fldCharType="begin"/>
        </w:r>
        <w:r w:rsidR="00F258C7">
          <w:rPr>
            <w:noProof/>
            <w:webHidden/>
          </w:rPr>
          <w:instrText xml:space="preserve"> PAGEREF _Toc126829398 \h </w:instrText>
        </w:r>
        <w:r w:rsidR="00F258C7">
          <w:rPr>
            <w:noProof/>
            <w:webHidden/>
          </w:rPr>
        </w:r>
        <w:r w:rsidR="00F258C7">
          <w:rPr>
            <w:noProof/>
            <w:webHidden/>
          </w:rPr>
          <w:fldChar w:fldCharType="separate"/>
        </w:r>
        <w:r w:rsidR="0013544A">
          <w:rPr>
            <w:noProof/>
            <w:webHidden/>
          </w:rPr>
          <w:t>9</w:t>
        </w:r>
        <w:r w:rsidR="00F258C7">
          <w:rPr>
            <w:noProof/>
            <w:webHidden/>
          </w:rPr>
          <w:fldChar w:fldCharType="end"/>
        </w:r>
      </w:hyperlink>
    </w:p>
    <w:p w14:paraId="77A41468" w14:textId="19F9A8A8" w:rsidR="00F258C7" w:rsidRDefault="00DF580B">
      <w:pPr>
        <w:pStyle w:val="TOC1"/>
        <w:rPr>
          <w:rFonts w:asciiTheme="minorHAnsi" w:eastAsiaTheme="minorEastAsia" w:hAnsiTheme="minorHAnsi"/>
          <w:noProof/>
          <w:lang w:eastAsia="en-GB"/>
        </w:rPr>
      </w:pPr>
      <w:hyperlink w:anchor="_Toc126829399" w:history="1">
        <w:r w:rsidR="00F258C7" w:rsidRPr="006E1B51">
          <w:rPr>
            <w:rStyle w:val="Hyperlink"/>
            <w:noProof/>
            <w14:scene3d>
              <w14:camera w14:prst="orthographicFront"/>
              <w14:lightRig w14:rig="threePt" w14:dir="t">
                <w14:rot w14:lat="0" w14:lon="0" w14:rev="0"/>
              </w14:lightRig>
            </w14:scene3d>
          </w:rPr>
          <w:t>4.</w:t>
        </w:r>
        <w:r w:rsidR="00F258C7">
          <w:rPr>
            <w:rFonts w:asciiTheme="minorHAnsi" w:eastAsiaTheme="minorEastAsia" w:hAnsiTheme="minorHAnsi"/>
            <w:noProof/>
            <w:lang w:eastAsia="en-GB"/>
          </w:rPr>
          <w:tab/>
        </w:r>
        <w:r w:rsidR="00F258C7" w:rsidRPr="006E1B51">
          <w:rPr>
            <w:rStyle w:val="Hyperlink"/>
            <w:noProof/>
          </w:rPr>
          <w:t>Equality Statement</w:t>
        </w:r>
        <w:r w:rsidR="00F258C7">
          <w:rPr>
            <w:noProof/>
            <w:webHidden/>
          </w:rPr>
          <w:tab/>
        </w:r>
        <w:r w:rsidR="00F258C7">
          <w:rPr>
            <w:noProof/>
            <w:webHidden/>
          </w:rPr>
          <w:fldChar w:fldCharType="begin"/>
        </w:r>
        <w:r w:rsidR="00F258C7">
          <w:rPr>
            <w:noProof/>
            <w:webHidden/>
          </w:rPr>
          <w:instrText xml:space="preserve"> PAGEREF _Toc126829399 \h </w:instrText>
        </w:r>
        <w:r w:rsidR="00F258C7">
          <w:rPr>
            <w:noProof/>
            <w:webHidden/>
          </w:rPr>
        </w:r>
        <w:r w:rsidR="00F258C7">
          <w:rPr>
            <w:noProof/>
            <w:webHidden/>
          </w:rPr>
          <w:fldChar w:fldCharType="separate"/>
        </w:r>
        <w:r w:rsidR="0013544A">
          <w:rPr>
            <w:noProof/>
            <w:webHidden/>
          </w:rPr>
          <w:t>9</w:t>
        </w:r>
        <w:r w:rsidR="00F258C7">
          <w:rPr>
            <w:noProof/>
            <w:webHidden/>
          </w:rPr>
          <w:fldChar w:fldCharType="end"/>
        </w:r>
      </w:hyperlink>
    </w:p>
    <w:p w14:paraId="6CAFBF3B" w14:textId="6E82A415" w:rsidR="00F258C7" w:rsidRDefault="00DF580B">
      <w:pPr>
        <w:pStyle w:val="TOC1"/>
        <w:rPr>
          <w:rFonts w:asciiTheme="minorHAnsi" w:eastAsiaTheme="minorEastAsia" w:hAnsiTheme="minorHAnsi"/>
          <w:noProof/>
          <w:lang w:eastAsia="en-GB"/>
        </w:rPr>
      </w:pPr>
      <w:hyperlink w:anchor="_Toc126829400" w:history="1">
        <w:r w:rsidR="00F258C7" w:rsidRPr="006E1B51">
          <w:rPr>
            <w:rStyle w:val="Hyperlink"/>
            <w:noProof/>
            <w14:scene3d>
              <w14:camera w14:prst="orthographicFront"/>
              <w14:lightRig w14:rig="threePt" w14:dir="t">
                <w14:rot w14:lat="0" w14:lon="0" w14:rev="0"/>
              </w14:lightRig>
            </w14:scene3d>
          </w:rPr>
          <w:t>5.</w:t>
        </w:r>
        <w:r w:rsidR="00F258C7">
          <w:rPr>
            <w:rFonts w:asciiTheme="minorHAnsi" w:eastAsiaTheme="minorEastAsia" w:hAnsiTheme="minorHAnsi"/>
            <w:noProof/>
            <w:lang w:eastAsia="en-GB"/>
          </w:rPr>
          <w:tab/>
        </w:r>
        <w:r w:rsidR="00F258C7" w:rsidRPr="006E1B51">
          <w:rPr>
            <w:rStyle w:val="Hyperlink"/>
            <w:noProof/>
          </w:rPr>
          <w:t>Due Regard</w:t>
        </w:r>
        <w:r w:rsidR="00F258C7">
          <w:rPr>
            <w:noProof/>
            <w:webHidden/>
          </w:rPr>
          <w:tab/>
        </w:r>
        <w:r w:rsidR="00F258C7">
          <w:rPr>
            <w:noProof/>
            <w:webHidden/>
          </w:rPr>
          <w:fldChar w:fldCharType="begin"/>
        </w:r>
        <w:r w:rsidR="00F258C7">
          <w:rPr>
            <w:noProof/>
            <w:webHidden/>
          </w:rPr>
          <w:instrText xml:space="preserve"> PAGEREF _Toc126829400 \h </w:instrText>
        </w:r>
        <w:r w:rsidR="00F258C7">
          <w:rPr>
            <w:noProof/>
            <w:webHidden/>
          </w:rPr>
        </w:r>
        <w:r w:rsidR="00F258C7">
          <w:rPr>
            <w:noProof/>
            <w:webHidden/>
          </w:rPr>
          <w:fldChar w:fldCharType="separate"/>
        </w:r>
        <w:r w:rsidR="0013544A">
          <w:rPr>
            <w:noProof/>
            <w:webHidden/>
          </w:rPr>
          <w:t>10</w:t>
        </w:r>
        <w:r w:rsidR="00F258C7">
          <w:rPr>
            <w:noProof/>
            <w:webHidden/>
          </w:rPr>
          <w:fldChar w:fldCharType="end"/>
        </w:r>
      </w:hyperlink>
    </w:p>
    <w:p w14:paraId="2D48388A" w14:textId="49C644A0" w:rsidR="00F258C7" w:rsidRDefault="00DF580B">
      <w:pPr>
        <w:pStyle w:val="TOC1"/>
        <w:rPr>
          <w:rFonts w:asciiTheme="minorHAnsi" w:eastAsiaTheme="minorEastAsia" w:hAnsiTheme="minorHAnsi"/>
          <w:noProof/>
          <w:lang w:eastAsia="en-GB"/>
        </w:rPr>
      </w:pPr>
      <w:hyperlink w:anchor="_Toc126829401" w:history="1">
        <w:r w:rsidR="00F258C7" w:rsidRPr="006E1B51">
          <w:rPr>
            <w:rStyle w:val="Hyperlink"/>
            <w:noProof/>
            <w14:scene3d>
              <w14:camera w14:prst="orthographicFront"/>
              <w14:lightRig w14:rig="threePt" w14:dir="t">
                <w14:rot w14:lat="0" w14:lon="0" w14:rev="0"/>
              </w14:lightRig>
            </w14:scene3d>
          </w:rPr>
          <w:t>6.</w:t>
        </w:r>
        <w:r w:rsidR="00F258C7">
          <w:rPr>
            <w:rFonts w:asciiTheme="minorHAnsi" w:eastAsiaTheme="minorEastAsia" w:hAnsiTheme="minorHAnsi"/>
            <w:noProof/>
            <w:lang w:eastAsia="en-GB"/>
          </w:rPr>
          <w:tab/>
        </w:r>
        <w:r w:rsidR="00F258C7" w:rsidRPr="006E1B51">
          <w:rPr>
            <w:rStyle w:val="Hyperlink"/>
            <w:noProof/>
          </w:rPr>
          <w:t>References/Supporting Documents</w:t>
        </w:r>
        <w:r w:rsidR="00F258C7">
          <w:rPr>
            <w:noProof/>
            <w:webHidden/>
          </w:rPr>
          <w:tab/>
        </w:r>
        <w:r w:rsidR="00F258C7">
          <w:rPr>
            <w:noProof/>
            <w:webHidden/>
          </w:rPr>
          <w:fldChar w:fldCharType="begin"/>
        </w:r>
        <w:r w:rsidR="00F258C7">
          <w:rPr>
            <w:noProof/>
            <w:webHidden/>
          </w:rPr>
          <w:instrText xml:space="preserve"> PAGEREF _Toc126829401 \h </w:instrText>
        </w:r>
        <w:r w:rsidR="00F258C7">
          <w:rPr>
            <w:noProof/>
            <w:webHidden/>
          </w:rPr>
        </w:r>
        <w:r w:rsidR="00F258C7">
          <w:rPr>
            <w:noProof/>
            <w:webHidden/>
          </w:rPr>
          <w:fldChar w:fldCharType="separate"/>
        </w:r>
        <w:r w:rsidR="0013544A">
          <w:rPr>
            <w:noProof/>
            <w:webHidden/>
          </w:rPr>
          <w:t>10</w:t>
        </w:r>
        <w:r w:rsidR="00F258C7">
          <w:rPr>
            <w:noProof/>
            <w:webHidden/>
          </w:rPr>
          <w:fldChar w:fldCharType="end"/>
        </w:r>
      </w:hyperlink>
    </w:p>
    <w:p w14:paraId="46ADD495" w14:textId="71B6550D" w:rsidR="00F258C7" w:rsidRDefault="00DF580B">
      <w:pPr>
        <w:pStyle w:val="TOC1"/>
        <w:rPr>
          <w:rFonts w:asciiTheme="minorHAnsi" w:eastAsiaTheme="minorEastAsia" w:hAnsiTheme="minorHAnsi"/>
          <w:noProof/>
          <w:lang w:eastAsia="en-GB"/>
        </w:rPr>
      </w:pPr>
      <w:hyperlink w:anchor="_Toc126829402" w:history="1">
        <w:r w:rsidR="00F258C7" w:rsidRPr="006E1B51">
          <w:rPr>
            <w:rStyle w:val="Hyperlink"/>
            <w:noProof/>
          </w:rPr>
          <w:t>Appendix 1 – Additional Considerations</w:t>
        </w:r>
        <w:r w:rsidR="00F258C7">
          <w:rPr>
            <w:noProof/>
            <w:webHidden/>
          </w:rPr>
          <w:tab/>
        </w:r>
        <w:r w:rsidR="00F258C7">
          <w:rPr>
            <w:noProof/>
            <w:webHidden/>
          </w:rPr>
          <w:fldChar w:fldCharType="begin"/>
        </w:r>
        <w:r w:rsidR="00F258C7">
          <w:rPr>
            <w:noProof/>
            <w:webHidden/>
          </w:rPr>
          <w:instrText xml:space="preserve"> PAGEREF _Toc126829402 \h </w:instrText>
        </w:r>
        <w:r w:rsidR="00F258C7">
          <w:rPr>
            <w:noProof/>
            <w:webHidden/>
          </w:rPr>
        </w:r>
        <w:r w:rsidR="00F258C7">
          <w:rPr>
            <w:noProof/>
            <w:webHidden/>
          </w:rPr>
          <w:fldChar w:fldCharType="separate"/>
        </w:r>
        <w:r w:rsidR="0013544A">
          <w:rPr>
            <w:noProof/>
            <w:webHidden/>
          </w:rPr>
          <w:t>11</w:t>
        </w:r>
        <w:r w:rsidR="00F258C7">
          <w:rPr>
            <w:noProof/>
            <w:webHidden/>
          </w:rPr>
          <w:fldChar w:fldCharType="end"/>
        </w:r>
      </w:hyperlink>
    </w:p>
    <w:p w14:paraId="3A7F978C" w14:textId="15C138CA" w:rsidR="00290B0E" w:rsidRDefault="00C12E8E" w:rsidP="00C425E9">
      <w:pPr>
        <w:pStyle w:val="PoliciesHeading1"/>
        <w:numPr>
          <w:ilvl w:val="0"/>
          <w:numId w:val="0"/>
        </w:numPr>
        <w:spacing w:before="0" w:line="240" w:lineRule="auto"/>
        <w:ind w:left="142" w:hanging="567"/>
        <w:outlineLvl w:val="0"/>
        <w:rPr>
          <w:rFonts w:eastAsia="Times New Roman" w:cs="Times New Roman"/>
          <w:caps w:val="0"/>
          <w:sz w:val="20"/>
          <w:szCs w:val="20"/>
          <w:lang w:eastAsia="en-GB"/>
        </w:rPr>
      </w:pPr>
      <w:r>
        <w:rPr>
          <w:rFonts w:eastAsia="Times New Roman" w:cs="Times New Roman"/>
          <w:b w:val="0"/>
          <w:sz w:val="20"/>
          <w:szCs w:val="20"/>
          <w:lang w:eastAsia="en-GB"/>
        </w:rPr>
        <w:fldChar w:fldCharType="end"/>
      </w:r>
    </w:p>
    <w:p w14:paraId="4BE5B265" w14:textId="73ECD711" w:rsidR="0019541B" w:rsidRDefault="0019541B" w:rsidP="00BC5685">
      <w:pPr>
        <w:spacing w:before="0" w:line="240" w:lineRule="auto"/>
        <w:jc w:val="center"/>
        <w:rPr>
          <w:sz w:val="8"/>
          <w:szCs w:val="8"/>
        </w:rPr>
      </w:pPr>
    </w:p>
    <w:p w14:paraId="45F9B30B" w14:textId="77777777" w:rsidR="00A67CCB" w:rsidRPr="00BC5685" w:rsidRDefault="00A67CCB" w:rsidP="00BC5685">
      <w:pPr>
        <w:spacing w:before="0" w:line="240" w:lineRule="auto"/>
        <w:jc w:val="center"/>
        <w:rPr>
          <w:sz w:val="8"/>
          <w:szCs w:val="8"/>
        </w:rPr>
      </w:pPr>
    </w:p>
    <w:p w14:paraId="17568B7C" w14:textId="77777777" w:rsidR="00A67CCB" w:rsidRDefault="00A67CCB">
      <w:pPr>
        <w:spacing w:before="0" w:after="200" w:line="276" w:lineRule="auto"/>
        <w:jc w:val="left"/>
        <w:rPr>
          <w:b/>
          <w:sz w:val="20"/>
          <w:szCs w:val="20"/>
          <w:u w:val="single"/>
        </w:rPr>
        <w:sectPr w:rsidR="00A67CCB" w:rsidSect="009D3DD6">
          <w:pgSz w:w="11906" w:h="16838" w:code="9"/>
          <w:pgMar w:top="1418" w:right="1418" w:bottom="1418" w:left="1418" w:header="851" w:footer="851" w:gutter="0"/>
          <w:cols w:space="708"/>
          <w:docGrid w:linePitch="360"/>
        </w:sectPr>
      </w:pPr>
    </w:p>
    <w:p w14:paraId="6E31C965" w14:textId="2A61E026" w:rsidR="005A116F" w:rsidRPr="00BC54DE" w:rsidRDefault="00BC395F" w:rsidP="005A116F">
      <w:pPr>
        <w:pStyle w:val="PoliciesHeading1"/>
      </w:pPr>
      <w:bookmarkStart w:id="2" w:name="_Toc126829386"/>
      <w:r>
        <w:lastRenderedPageBreak/>
        <w:t>Introduction</w:t>
      </w:r>
      <w:bookmarkEnd w:id="2"/>
    </w:p>
    <w:p w14:paraId="3CA4E312" w14:textId="795281BB" w:rsidR="001F6C65" w:rsidRDefault="001F6C65" w:rsidP="001F6C65">
      <w:pPr>
        <w:pStyle w:val="PoliciesText2"/>
      </w:pPr>
      <w:r>
        <w:t>NHS Derby and Derbyshire Integrated Care Board (the "ICB") is under a statutory duty to promote the health of the local community. They are also under a duty not to exceed their annual financial allocation. These legal requirements mean that, from time to time, difficult choices must be made.</w:t>
      </w:r>
    </w:p>
    <w:p w14:paraId="2CF9162F" w14:textId="4ABC8762" w:rsidR="001F6C65" w:rsidRDefault="001F6C65" w:rsidP="001F6C65">
      <w:pPr>
        <w:pStyle w:val="PoliciesText2"/>
      </w:pPr>
      <w:r>
        <w:t>The Ethical Framework for Decision-Making (the "</w:t>
      </w:r>
      <w:r w:rsidR="00DB611C">
        <w:t xml:space="preserve">Ethical </w:t>
      </w:r>
      <w:r>
        <w:t>Framework") has been developed to support corporate committees of the ICB in their decision-making processes. For the purpose of this document, corporate committees of the ICB will be referred to as the "Committees".</w:t>
      </w:r>
    </w:p>
    <w:p w14:paraId="6AD4DFFD" w14:textId="36D99CC2" w:rsidR="001F6C65" w:rsidRDefault="00DB611C" w:rsidP="001F6C65">
      <w:pPr>
        <w:pStyle w:val="PoliciesHeading1"/>
      </w:pPr>
      <w:bookmarkStart w:id="3" w:name="_Toc126829387"/>
      <w:r>
        <w:t>Purpose of the Ethical Framework</w:t>
      </w:r>
      <w:bookmarkEnd w:id="3"/>
    </w:p>
    <w:p w14:paraId="70529016" w14:textId="0DE6AF27" w:rsidR="001F6C65" w:rsidRDefault="001F6C65" w:rsidP="001F6C65">
      <w:pPr>
        <w:pStyle w:val="PoliciesText2"/>
      </w:pPr>
      <w:r>
        <w:t xml:space="preserve">The purpose of this </w:t>
      </w:r>
      <w:r w:rsidR="00DB611C">
        <w:t xml:space="preserve">Ethical </w:t>
      </w:r>
      <w:r>
        <w:t>Framework is to support and underpin the decision-making processes of constituent organisations and their Committees to support consistent commissioning policy through:</w:t>
      </w:r>
    </w:p>
    <w:p w14:paraId="2ACDDC12" w14:textId="77777777" w:rsidR="001F6C65" w:rsidRDefault="001F6C65" w:rsidP="001F6C65">
      <w:pPr>
        <w:pStyle w:val="PoliciesHeading3"/>
      </w:pPr>
      <w:r>
        <w:t>providing a coherent structure for the consideration of health care treatments and services to ensure that all important aspects are discussed;</w:t>
      </w:r>
    </w:p>
    <w:p w14:paraId="6E2F78CB" w14:textId="77777777" w:rsidR="001F6C65" w:rsidRDefault="001F6C65" w:rsidP="00FB6D47">
      <w:pPr>
        <w:pStyle w:val="PoliciesHeading3"/>
      </w:pPr>
      <w:r>
        <w:t>promoting fairness and consistency in decision-making, reducing the potential for inequity;</w:t>
      </w:r>
    </w:p>
    <w:p w14:paraId="4B126F91" w14:textId="77777777" w:rsidR="001F6C65" w:rsidRDefault="001F6C65" w:rsidP="00DB1C3D">
      <w:pPr>
        <w:pStyle w:val="PoliciesHeading3"/>
      </w:pPr>
      <w:r>
        <w:t>providing a transparent means of expressing the reasons behind the decisions made to patients, families, carers, clinicians and the public;</w:t>
      </w:r>
    </w:p>
    <w:p w14:paraId="0ED70311" w14:textId="77777777" w:rsidR="001F6C65" w:rsidRDefault="001F6C65" w:rsidP="001F6C65">
      <w:pPr>
        <w:pStyle w:val="PoliciesHeading3"/>
      </w:pPr>
      <w:r>
        <w:t>ensuring that the principles and legal requirements of the NHS Constitution and the Public Sector Equality Duty are adhered to consistently across all levels of commissioning from strategic planning through to individual funding requests;</w:t>
      </w:r>
    </w:p>
    <w:p w14:paraId="4391C4D2" w14:textId="77777777" w:rsidR="001F6C65" w:rsidRDefault="001F6C65" w:rsidP="001F6C65">
      <w:pPr>
        <w:pStyle w:val="PoliciesHeading3"/>
      </w:pPr>
      <w:r>
        <w:t>supporting and integrating with the development of the ICB commissioning plan; and</w:t>
      </w:r>
    </w:p>
    <w:p w14:paraId="1E088BEA" w14:textId="5A40EE85" w:rsidR="001F6C65" w:rsidRDefault="001F6C65" w:rsidP="001F6C65">
      <w:pPr>
        <w:pStyle w:val="PoliciesHeading3"/>
      </w:pPr>
      <w:r>
        <w:t>reducing the risk of judicial review by implementation of robust decision-making processes that are based on evidence of clinical and cost effectiveness, and an ethical framework.</w:t>
      </w:r>
    </w:p>
    <w:p w14:paraId="59A666EA" w14:textId="1F6B6607" w:rsidR="00DB611C" w:rsidRDefault="001F6C65" w:rsidP="001F6C65">
      <w:pPr>
        <w:pStyle w:val="PoliciesText2"/>
      </w:pPr>
      <w:r>
        <w:t>Formulating policy recommendations regarding health care priorities involves the exercise of judgment and discretion and there will be room for disagreement both within and external to the Committees. Although there is no objective or infallible measure by which such decisions can be based, th</w:t>
      </w:r>
      <w:r w:rsidR="00DB611C">
        <w:t>is</w:t>
      </w:r>
      <w:r>
        <w:t xml:space="preserve"> </w:t>
      </w:r>
      <w:r w:rsidR="00DB611C">
        <w:t xml:space="preserve">Ethical </w:t>
      </w:r>
      <w:r>
        <w:t>Framework enables decisions to be made within a consistent setting which respects the needs of individuals and the community. The Committees recognise that their discretion may be affected by National Service Frameworks, National Institute for Health and Clinical Excellence (NICE) technology appraisal guidance and Secretary of State Directions to the NHS.</w:t>
      </w:r>
    </w:p>
    <w:p w14:paraId="3896597F" w14:textId="5BEE8880" w:rsidR="00DB611C" w:rsidRDefault="001F6C65" w:rsidP="00DB611C">
      <w:pPr>
        <w:pStyle w:val="PoliciesText2"/>
        <w:keepNext/>
      </w:pPr>
      <w:r>
        <w:lastRenderedPageBreak/>
        <w:t xml:space="preserve">The </w:t>
      </w:r>
      <w:r w:rsidR="00DB611C">
        <w:t xml:space="preserve">Ethical Framework </w:t>
      </w:r>
      <w:r>
        <w:t>builds upon the four 'prima facie' principles of</w:t>
      </w:r>
      <w:r w:rsidR="00DB611C">
        <w:t>:</w:t>
      </w:r>
    </w:p>
    <w:p w14:paraId="2F3D5A66" w14:textId="77777777" w:rsidR="00DB611C" w:rsidRDefault="00DB611C" w:rsidP="00DB611C">
      <w:pPr>
        <w:pStyle w:val="PoliciesHeading3"/>
      </w:pPr>
      <w:r>
        <w:t>r</w:t>
      </w:r>
      <w:r w:rsidR="001F6C65">
        <w:t>espect for autonomy</w:t>
      </w:r>
      <w:r>
        <w:t>;</w:t>
      </w:r>
    </w:p>
    <w:p w14:paraId="2FA24B64" w14:textId="77777777" w:rsidR="00DB611C" w:rsidRDefault="001F6C65" w:rsidP="00DB611C">
      <w:pPr>
        <w:pStyle w:val="PoliciesHeading3"/>
      </w:pPr>
      <w:r>
        <w:t>beneficence</w:t>
      </w:r>
      <w:r w:rsidR="00DB611C">
        <w:t>;</w:t>
      </w:r>
    </w:p>
    <w:p w14:paraId="687C445B" w14:textId="77777777" w:rsidR="00DB611C" w:rsidRDefault="001F6C65" w:rsidP="00DB611C">
      <w:pPr>
        <w:pStyle w:val="PoliciesHeading3"/>
      </w:pPr>
      <w:r>
        <w:t>non-maleficence</w:t>
      </w:r>
      <w:r w:rsidR="00DB611C">
        <w:t xml:space="preserve">; </w:t>
      </w:r>
      <w:r>
        <w:t>and</w:t>
      </w:r>
    </w:p>
    <w:p w14:paraId="57FC51AE" w14:textId="6640B61F" w:rsidR="001F6C65" w:rsidRDefault="001F6C65" w:rsidP="00DB611C">
      <w:pPr>
        <w:pStyle w:val="PoliciesHeading3"/>
      </w:pPr>
      <w:r>
        <w:t>justice</w:t>
      </w:r>
      <w:r w:rsidR="00DB611C">
        <w:t>.</w:t>
      </w:r>
    </w:p>
    <w:p w14:paraId="00975B3B" w14:textId="41CF3918" w:rsidR="001F6C65" w:rsidRDefault="00DB611C" w:rsidP="00DB611C">
      <w:pPr>
        <w:pStyle w:val="PoliciesHeading1"/>
      </w:pPr>
      <w:bookmarkStart w:id="4" w:name="_Toc126829388"/>
      <w:r>
        <w:t>Principles of the Ethical Framework</w:t>
      </w:r>
      <w:bookmarkEnd w:id="4"/>
    </w:p>
    <w:p w14:paraId="49938647" w14:textId="5CE0FCD1" w:rsidR="001F6C65" w:rsidRDefault="001F6C65" w:rsidP="00DB611C">
      <w:pPr>
        <w:ind w:left="567"/>
      </w:pPr>
      <w:r>
        <w:t xml:space="preserve">The following are the principles adopted by </w:t>
      </w:r>
      <w:r w:rsidR="00DB611C">
        <w:t xml:space="preserve">Committees </w:t>
      </w:r>
      <w:r>
        <w:t>during the decision-making process:</w:t>
      </w:r>
    </w:p>
    <w:p w14:paraId="12E7F046" w14:textId="50240538" w:rsidR="00513BA0" w:rsidRDefault="00513BA0" w:rsidP="00513BA0">
      <w:pPr>
        <w:pStyle w:val="PoliciesHeading2"/>
      </w:pPr>
      <w:bookmarkStart w:id="5" w:name="_Toc126829389"/>
      <w:r>
        <w:t>Standards of Business Conduct, Transparency and Accountability</w:t>
      </w:r>
      <w:bookmarkEnd w:id="5"/>
    </w:p>
    <w:p w14:paraId="66F9797B" w14:textId="64FF3D8D" w:rsidR="00513BA0" w:rsidRPr="00264F11" w:rsidRDefault="009234A0" w:rsidP="00513BA0">
      <w:pPr>
        <w:pStyle w:val="PoliciesHeading3"/>
        <w:keepNext/>
      </w:pPr>
      <w:r>
        <w:t xml:space="preserve">ICB </w:t>
      </w:r>
      <w:r w:rsidR="00513BA0" w:rsidRPr="00264F11">
        <w:t xml:space="preserve">Board members, employees, committee and sub-committee members of the ICB will at all times comply with </w:t>
      </w:r>
      <w:r w:rsidR="00513BA0">
        <w:t xml:space="preserve">the ICB </w:t>
      </w:r>
      <w:r w:rsidR="00513BA0" w:rsidRPr="00264F11">
        <w:t xml:space="preserve">Constitution </w:t>
      </w:r>
      <w:r w:rsidR="00513BA0">
        <w:t xml:space="preserve">and Standards of Business Conduct Policy </w:t>
      </w:r>
      <w:r w:rsidR="00513BA0" w:rsidRPr="00264F11">
        <w:t>and be aware of their responsibilities as outlined in it. They should:</w:t>
      </w:r>
    </w:p>
    <w:p w14:paraId="0BB64B8A" w14:textId="618C5B65" w:rsidR="00513BA0" w:rsidRPr="00264F11" w:rsidRDefault="00513BA0" w:rsidP="00513BA0">
      <w:pPr>
        <w:pStyle w:val="PoliciesText4"/>
      </w:pPr>
      <w:r w:rsidRPr="00264F11">
        <w:t>act in good faith and in the interests of the ICB;</w:t>
      </w:r>
    </w:p>
    <w:p w14:paraId="6B7C972A" w14:textId="754DECAF" w:rsidR="00513BA0" w:rsidRDefault="00513BA0" w:rsidP="00513BA0">
      <w:pPr>
        <w:pStyle w:val="PoliciesText4"/>
      </w:pPr>
      <w:r w:rsidRPr="00264F11">
        <w:t>follow the Seven Principles of Public Life; set out by the Committee on Standards in Public Life (the Nolan Principles)</w:t>
      </w:r>
      <w:r>
        <w:t>. These are:</w:t>
      </w:r>
    </w:p>
    <w:p w14:paraId="25C022A4" w14:textId="003B1655" w:rsidR="00513BA0" w:rsidRDefault="00513BA0" w:rsidP="00513BA0">
      <w:pPr>
        <w:pStyle w:val="PoliciesText4"/>
        <w:numPr>
          <w:ilvl w:val="4"/>
          <w:numId w:val="2"/>
        </w:numPr>
        <w:ind w:left="2268" w:hanging="567"/>
      </w:pPr>
      <w:r w:rsidRPr="00513BA0">
        <w:rPr>
          <w:u w:val="single"/>
        </w:rPr>
        <w:t>Selflessness:</w:t>
      </w:r>
      <w:r>
        <w:t xml:space="preserve"> </w:t>
      </w:r>
      <w:r w:rsidR="009234A0">
        <w:t xml:space="preserve">Holders </w:t>
      </w:r>
      <w:r>
        <w:t>of public office should act solely in terms of the public interest;</w:t>
      </w:r>
    </w:p>
    <w:p w14:paraId="56FDB522" w14:textId="22B9A421" w:rsidR="00513BA0" w:rsidRDefault="00513BA0" w:rsidP="00513BA0">
      <w:pPr>
        <w:pStyle w:val="PoliciesText4"/>
        <w:numPr>
          <w:ilvl w:val="4"/>
          <w:numId w:val="2"/>
        </w:numPr>
        <w:ind w:left="2268" w:hanging="567"/>
      </w:pPr>
      <w:r w:rsidRPr="00513BA0">
        <w:rPr>
          <w:u w:val="single"/>
        </w:rPr>
        <w:t>Integrity:</w:t>
      </w:r>
      <w:r>
        <w:t xml:space="preserve"> </w:t>
      </w:r>
      <w:r w:rsidR="009234A0">
        <w:t xml:space="preserve">Holders </w:t>
      </w:r>
      <w:r>
        <w:t>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5E1AC519" w14:textId="1C924860" w:rsidR="00513BA0" w:rsidRDefault="00513BA0" w:rsidP="00513BA0">
      <w:pPr>
        <w:pStyle w:val="PoliciesText4"/>
        <w:numPr>
          <w:ilvl w:val="4"/>
          <w:numId w:val="2"/>
        </w:numPr>
        <w:ind w:left="2268" w:hanging="567"/>
      </w:pPr>
      <w:r w:rsidRPr="00513BA0">
        <w:rPr>
          <w:u w:val="single"/>
        </w:rPr>
        <w:t>Objectivity:</w:t>
      </w:r>
      <w:r>
        <w:t xml:space="preserve"> </w:t>
      </w:r>
      <w:r w:rsidR="009234A0">
        <w:t xml:space="preserve">Holders </w:t>
      </w:r>
      <w:r>
        <w:t>of public office must act and take decisions impartially, fairly and on merit, using the best evidence and without discrimination or bias;</w:t>
      </w:r>
    </w:p>
    <w:p w14:paraId="44083190" w14:textId="1028DB34" w:rsidR="00513BA0" w:rsidRDefault="00513BA0" w:rsidP="00513BA0">
      <w:pPr>
        <w:pStyle w:val="PoliciesText4"/>
        <w:numPr>
          <w:ilvl w:val="4"/>
          <w:numId w:val="2"/>
        </w:numPr>
        <w:ind w:left="2268" w:hanging="567"/>
      </w:pPr>
      <w:r w:rsidRPr="00513BA0">
        <w:rPr>
          <w:u w:val="single"/>
        </w:rPr>
        <w:t>Accountability:</w:t>
      </w:r>
      <w:r>
        <w:t xml:space="preserve"> </w:t>
      </w:r>
      <w:r w:rsidR="009234A0">
        <w:t xml:space="preserve">Holders </w:t>
      </w:r>
      <w:r>
        <w:t>of public office are accountable to the public for their decisions and actions and must submit themselves to the scrutiny necessary to ensure this;</w:t>
      </w:r>
    </w:p>
    <w:p w14:paraId="09624738" w14:textId="1F04BFDC" w:rsidR="00513BA0" w:rsidRDefault="00513BA0" w:rsidP="00513BA0">
      <w:pPr>
        <w:pStyle w:val="PoliciesText4"/>
        <w:numPr>
          <w:ilvl w:val="4"/>
          <w:numId w:val="2"/>
        </w:numPr>
        <w:ind w:left="2268" w:hanging="567"/>
      </w:pPr>
      <w:r w:rsidRPr="00513BA0">
        <w:rPr>
          <w:u w:val="single"/>
        </w:rPr>
        <w:t>Openness:</w:t>
      </w:r>
      <w:r>
        <w:t xml:space="preserve"> Holders of public office should act and take decisions in an open and transparent manner. Information should not be withheld from the public unless there are clear and lawful reasons for so doing;</w:t>
      </w:r>
    </w:p>
    <w:p w14:paraId="1A52E405" w14:textId="3508BEA1" w:rsidR="00513BA0" w:rsidRDefault="00513BA0" w:rsidP="00513BA0">
      <w:pPr>
        <w:pStyle w:val="PoliciesText4"/>
        <w:numPr>
          <w:ilvl w:val="4"/>
          <w:numId w:val="2"/>
        </w:numPr>
        <w:ind w:left="2268" w:hanging="567"/>
      </w:pPr>
      <w:r w:rsidRPr="00513BA0">
        <w:rPr>
          <w:u w:val="single"/>
        </w:rPr>
        <w:t>Honesty:</w:t>
      </w:r>
      <w:r>
        <w:t xml:space="preserve"> Holders of public office should be truthful;</w:t>
      </w:r>
    </w:p>
    <w:p w14:paraId="790261E3" w14:textId="56051EC4" w:rsidR="00513BA0" w:rsidRPr="00264F11" w:rsidRDefault="00513BA0" w:rsidP="00513BA0">
      <w:pPr>
        <w:pStyle w:val="PoliciesText4"/>
        <w:numPr>
          <w:ilvl w:val="4"/>
          <w:numId w:val="2"/>
        </w:numPr>
        <w:ind w:left="2268" w:hanging="567"/>
      </w:pPr>
      <w:r w:rsidRPr="00513BA0">
        <w:rPr>
          <w:u w:val="single"/>
        </w:rPr>
        <w:t>Leadership:</w:t>
      </w:r>
      <w:r>
        <w:t xml:space="preserve"> Holders of public office should exhibit these principles in their own behaviour and treat others with respect. They should actively </w:t>
      </w:r>
      <w:r>
        <w:lastRenderedPageBreak/>
        <w:t>promote and robustly support the principles and challenge poor behaviour wherever it occurs.</w:t>
      </w:r>
    </w:p>
    <w:p w14:paraId="6B724C01" w14:textId="70683170" w:rsidR="00513BA0" w:rsidRPr="00E8556B" w:rsidRDefault="00513BA0" w:rsidP="00513BA0">
      <w:pPr>
        <w:pStyle w:val="PoliciesHeading3"/>
      </w:pPr>
      <w:r>
        <w:t>These principles should be applied at all times in decision-making and policy-setting environments. These will include decisions relating to clinical policy, staff policy, public policy, financial management and any other decision-making environments.</w:t>
      </w:r>
    </w:p>
    <w:p w14:paraId="3B933334" w14:textId="0B381B39" w:rsidR="001F6C65" w:rsidRDefault="001F6C65" w:rsidP="00DB611C">
      <w:pPr>
        <w:pStyle w:val="PoliciesHeading2"/>
      </w:pPr>
      <w:bookmarkStart w:id="6" w:name="_Toc126829390"/>
      <w:r>
        <w:t xml:space="preserve">Consistency in demonstrating values </w:t>
      </w:r>
      <w:r w:rsidR="00DB611C">
        <w:t>and</w:t>
      </w:r>
      <w:r>
        <w:t xml:space="preserve"> principles</w:t>
      </w:r>
      <w:bookmarkEnd w:id="6"/>
      <w:r>
        <w:t xml:space="preserve"> </w:t>
      </w:r>
    </w:p>
    <w:p w14:paraId="192015EE" w14:textId="3DB9E9FA" w:rsidR="001F6C65" w:rsidRDefault="001F6C65" w:rsidP="00DB611C">
      <w:pPr>
        <w:ind w:left="851"/>
      </w:pPr>
      <w:r>
        <w:t>The values and principles driving priority setting at all levels of decision-making must be consistent</w:t>
      </w:r>
      <w:r w:rsidR="00DB611C">
        <w:t>.</w:t>
      </w:r>
      <w:r w:rsidR="00513BA0" w:rsidRPr="00513BA0">
        <w:t xml:space="preserve"> </w:t>
      </w:r>
      <w:r w:rsidR="00513BA0">
        <w:t>These will be set by the ICB Board, in discussion and agreement with staff and other stakeholders.</w:t>
      </w:r>
    </w:p>
    <w:p w14:paraId="0DC0E5CE" w14:textId="7CD6F39A" w:rsidR="004A09C9" w:rsidRDefault="004A09C9" w:rsidP="00DB611C">
      <w:pPr>
        <w:pStyle w:val="PoliciesHeading2"/>
      </w:pPr>
      <w:bookmarkStart w:id="7" w:name="_Toc126829391"/>
      <w:r>
        <w:t>Our approach to decision making</w:t>
      </w:r>
      <w:bookmarkEnd w:id="7"/>
    </w:p>
    <w:p w14:paraId="5D4C5BAC" w14:textId="3595A386" w:rsidR="004A09C9" w:rsidRDefault="004A09C9" w:rsidP="004A09C9">
      <w:pPr>
        <w:pStyle w:val="PoliciesHeading3"/>
      </w:pPr>
      <w:r>
        <w:t xml:space="preserve">The ICB will make our most significant decisions by ‘consensus’. We recognise that there will be reasonable disagreement about how we should allocate resources with a finite budget among those who are responsible for understanding the problem, want to find a just and fair solution and responsible for making a decision. </w:t>
      </w:r>
      <w:r w:rsidR="005839CC">
        <w:t xml:space="preserve">The consensus of decisions made by the ICB must be mindful of not only meeting short term objectives but also long-term strategy, such as the </w:t>
      </w:r>
      <w:r w:rsidR="00CE5992">
        <w:t>Five-Year</w:t>
      </w:r>
      <w:r w:rsidR="005839CC">
        <w:t xml:space="preserve"> Plan and Joint Forward Plan. </w:t>
      </w:r>
      <w:r>
        <w:t>This framework will help us to treat disagreements respectfully so that those affected can sign up to decisions made by:</w:t>
      </w:r>
    </w:p>
    <w:p w14:paraId="04624478" w14:textId="4917F39C" w:rsidR="004A09C9" w:rsidRDefault="004A09C9" w:rsidP="004A09C9">
      <w:pPr>
        <w:pStyle w:val="PoliciesText4"/>
      </w:pPr>
      <w:r>
        <w:t>finding solutions that everyone actively supports, or at least can live with. This is done by ensuring that all opinions, ideas and concerns are taken into account. The assumption is that every member of the group or committee has a voice worth hearing and that all concerns are reasonable, and this is crucial to making good decisions. If a proposal is deeply troubling to even one person, that concern is respected; if it is ignored, the group is likely to make a mistake;</w:t>
      </w:r>
    </w:p>
    <w:p w14:paraId="585B9B8D" w14:textId="3EB56831" w:rsidR="004A09C9" w:rsidRDefault="004A09C9" w:rsidP="004A09C9">
      <w:pPr>
        <w:pStyle w:val="PoliciesText4"/>
      </w:pPr>
      <w:r>
        <w:t>ensuring everyone in the group is committed to common goals that are clearly understood, and to be able to tell the difference between their personal preferences and what will help the group achieve its goals;</w:t>
      </w:r>
    </w:p>
    <w:p w14:paraId="62A531C0" w14:textId="6245FBCB" w:rsidR="004A09C9" w:rsidRDefault="004A09C9" w:rsidP="00B0398C">
      <w:pPr>
        <w:pStyle w:val="PoliciesText4"/>
      </w:pPr>
      <w:r>
        <w:t>ensuring decisions are reached by consensus and reflect the thoughts and feelings of the group as a whole, rather than just the majority. Effective consensus building results in decisions that have been thoughtfully considered and take into account diverse experience and views.</w:t>
      </w:r>
    </w:p>
    <w:p w14:paraId="2ECFD528" w14:textId="5F89EDD3" w:rsidR="004A09C9" w:rsidRDefault="004A09C9" w:rsidP="004A09C9">
      <w:pPr>
        <w:pStyle w:val="PoliciesHeading3"/>
      </w:pPr>
      <w:r>
        <w:t>A full consensus decision-making process may be most appropriate for:</w:t>
      </w:r>
    </w:p>
    <w:p w14:paraId="763123B7" w14:textId="5FF6CA14" w:rsidR="004A09C9" w:rsidRDefault="004A09C9" w:rsidP="004A09C9">
      <w:pPr>
        <w:pStyle w:val="PoliciesText4"/>
      </w:pPr>
      <w:r>
        <w:t>strategic decisions;</w:t>
      </w:r>
    </w:p>
    <w:p w14:paraId="5634088F" w14:textId="60BC1934" w:rsidR="004A09C9" w:rsidRDefault="004A09C9" w:rsidP="004A09C9">
      <w:pPr>
        <w:pStyle w:val="PoliciesText4"/>
      </w:pPr>
      <w:r>
        <w:t>decisions where “the stakes are high”;</w:t>
      </w:r>
    </w:p>
    <w:p w14:paraId="25393124" w14:textId="105154AF" w:rsidR="004A09C9" w:rsidRDefault="004A09C9" w:rsidP="004A09C9">
      <w:pPr>
        <w:pStyle w:val="PoliciesText4"/>
      </w:pPr>
      <w:r>
        <w:t>decisions for which a strong, united front is important.</w:t>
      </w:r>
    </w:p>
    <w:p w14:paraId="22ACA682" w14:textId="6DC4D5C7" w:rsidR="004A09C9" w:rsidRDefault="004A09C9" w:rsidP="004A09C9">
      <w:pPr>
        <w:pStyle w:val="PoliciesHeading3"/>
      </w:pPr>
      <w:r>
        <w:t>A full consensus-building approach may be unnecessary or less appropriate for:</w:t>
      </w:r>
    </w:p>
    <w:p w14:paraId="7B890766" w14:textId="77777777" w:rsidR="004A09C9" w:rsidRDefault="004A09C9" w:rsidP="004A09C9">
      <w:pPr>
        <w:pStyle w:val="PoliciesText4"/>
      </w:pPr>
      <w:r>
        <w:lastRenderedPageBreak/>
        <w:t>operational or tactical decisions; or</w:t>
      </w:r>
    </w:p>
    <w:p w14:paraId="1BFC5709" w14:textId="77777777" w:rsidR="004A09C9" w:rsidRDefault="004A09C9" w:rsidP="004A09C9">
      <w:pPr>
        <w:pStyle w:val="PoliciesText4"/>
      </w:pPr>
      <w:r>
        <w:t>decisions which have relatively minor impact, or which affect relatively few people.</w:t>
      </w:r>
    </w:p>
    <w:p w14:paraId="7EF5FC3C" w14:textId="76DCC00F" w:rsidR="001F6C65" w:rsidRDefault="001F6C65" w:rsidP="00DB611C">
      <w:pPr>
        <w:pStyle w:val="PoliciesHeading2"/>
      </w:pPr>
      <w:bookmarkStart w:id="8" w:name="_Toc126829392"/>
      <w:r>
        <w:t xml:space="preserve">Evidence of </w:t>
      </w:r>
      <w:r w:rsidR="00A82A92">
        <w:t>c</w:t>
      </w:r>
      <w:r>
        <w:t>linical and cost effectiveness</w:t>
      </w:r>
      <w:bookmarkEnd w:id="8"/>
    </w:p>
    <w:p w14:paraId="756A69E9" w14:textId="2B685D50" w:rsidR="00DB611C" w:rsidRDefault="001F6C65" w:rsidP="00DB611C">
      <w:pPr>
        <w:pStyle w:val="PoliciesText3"/>
      </w:pPr>
      <w:r>
        <w:t xml:space="preserve">The </w:t>
      </w:r>
      <w:r w:rsidR="00DB611C">
        <w:t xml:space="preserve">Committees </w:t>
      </w:r>
      <w:r>
        <w:t>will seek to obtain the best available evidence of clinical and cost</w:t>
      </w:r>
      <w:r w:rsidR="00A82A92">
        <w:t xml:space="preserve"> </w:t>
      </w:r>
      <w:r>
        <w:t xml:space="preserve">effectiveness using robust and reproducible methods. Methods to assess clinical and cost effectiveness are well established. The key success factors are the need to search effectively and systematically for relevant evidence, and then to extract, analyse, and present this in a consistent way to support the work of the Committees. Choice of appropriate clinically and patient-defined outcome needs </w:t>
      </w:r>
      <w:r w:rsidR="00DB611C">
        <w:t xml:space="preserve">are </w:t>
      </w:r>
      <w:r>
        <w:t xml:space="preserve">to be given careful consideration, and where possible </w:t>
      </w:r>
      <w:r w:rsidR="00DB611C">
        <w:t xml:space="preserve">the </w:t>
      </w:r>
      <w:r>
        <w:t xml:space="preserve">quality of life measures and cost utility analysis should be considered. </w:t>
      </w:r>
    </w:p>
    <w:p w14:paraId="3DDA9384" w14:textId="26A77D32" w:rsidR="001F6C65" w:rsidRDefault="001F6C65" w:rsidP="00DB611C">
      <w:pPr>
        <w:pStyle w:val="PoliciesText3"/>
      </w:pPr>
      <w:r>
        <w:t>The Committees will promote treatments for which there is good evidence of clinical effectiveness in improving the health status of patients and will not normally recommend treatment that is shown to be ineffective. Issues such as safety and drug licensing will also be carefully considered. When assessing evidence of clinical effectiveness the outcome measures that will be given greatest importance are those considered important to patients’ health status. Patient satisfaction will not necessarily be taken as evidence of clinical effectiveness. Trials of longer duration and clinically relevant outcomes data may be considered more reliable than those of shorter duration with surrogate outcomes. Reliable evidence will often be available from good quality, rigorously appraised studies. Evidence may be available from other sources and this will also be considered. Patients’ evidence of significant clinical benefit is relevant and will be balanced against the strength of the available research</w:t>
      </w:r>
      <w:r w:rsidR="00A82A92">
        <w:t>.</w:t>
      </w:r>
    </w:p>
    <w:p w14:paraId="055A0367" w14:textId="0E6E116C" w:rsidR="001F6C65" w:rsidRDefault="001F6C65" w:rsidP="00DB611C">
      <w:pPr>
        <w:pStyle w:val="PoliciesHeading3"/>
      </w:pPr>
      <w:r>
        <w:t>The committees will compare the cost of a new treatment to the existing care provided and will also compare the cost of the treatment to its overall benefit, both to the individual and the community. They will consider technical cost-benefit calculations (e.g. quality adjusted life years), but these will not by themselves be decisive. The Committees may use the ethical framework to guide context-specific judgements about the relative priority that should be given to each topic.</w:t>
      </w:r>
    </w:p>
    <w:p w14:paraId="69412EBA" w14:textId="48CB572D" w:rsidR="001F6C65" w:rsidRDefault="001F6C65" w:rsidP="00DB611C">
      <w:pPr>
        <w:pStyle w:val="PoliciesHeading2"/>
      </w:pPr>
      <w:bookmarkStart w:id="9" w:name="_Toc126829393"/>
      <w:r>
        <w:t>Equity</w:t>
      </w:r>
      <w:bookmarkEnd w:id="9"/>
    </w:p>
    <w:p w14:paraId="04AA8B23" w14:textId="3D05D84D" w:rsidR="001F6C65" w:rsidRDefault="001F6C65" w:rsidP="00513BA0">
      <w:pPr>
        <w:pStyle w:val="PoliciesHeading3"/>
      </w:pPr>
      <w:r>
        <w:t xml:space="preserve">The Committees believe that people should have access to health care on the basis of need. There may also be times when some categories of care are given priority in order to address health inequalities in the community. However, the Committees will not discriminate on grounds of personal characteristics, such as age, gender, sexual orientation, gender identity, race, religion, lifestyle, social position, family or financial status, intelligence, disability, physical or cognitive functioning (including employment status). However, in some circumstances, these factors may be relevant to the clinical effectiveness of an intervention and the capacity of an individual to benefit from the treatment. The committee will pay due regard to the Quality and Equality Impact Assessment process. </w:t>
      </w:r>
    </w:p>
    <w:p w14:paraId="2447CEA0" w14:textId="3EAAB4C1" w:rsidR="00513BA0" w:rsidRPr="00513BA0" w:rsidRDefault="00513BA0" w:rsidP="00513BA0">
      <w:pPr>
        <w:pStyle w:val="PoliciesHeading3"/>
      </w:pPr>
      <w:r>
        <w:lastRenderedPageBreak/>
        <w:t>The ICB will also ensure staff policies and procedures promote equity and equality.</w:t>
      </w:r>
    </w:p>
    <w:p w14:paraId="620296DC" w14:textId="29DC0075" w:rsidR="001F6C65" w:rsidRDefault="001F6C65" w:rsidP="00DB611C">
      <w:pPr>
        <w:pStyle w:val="PoliciesHeading2"/>
      </w:pPr>
      <w:bookmarkStart w:id="10" w:name="_Toc126829394"/>
      <w:r>
        <w:t xml:space="preserve">Health care </w:t>
      </w:r>
      <w:r w:rsidR="00DB611C">
        <w:t>need</w:t>
      </w:r>
      <w:r w:rsidR="00DB611C">
        <w:rPr>
          <w:rStyle w:val="FootnoteReference"/>
        </w:rPr>
        <w:footnoteReference w:id="1"/>
      </w:r>
      <w:r w:rsidR="00DB611C">
        <w:t xml:space="preserve"> and capacity to benefit</w:t>
      </w:r>
      <w:bookmarkEnd w:id="10"/>
    </w:p>
    <w:p w14:paraId="18625BAD" w14:textId="45488D86" w:rsidR="001F6C65" w:rsidRDefault="001F6C65" w:rsidP="00DB611C">
      <w:pPr>
        <w:ind w:left="851"/>
      </w:pPr>
      <w:r>
        <w:t>Health care should be allocated justly and fairly according to need and capacity to benefit, such that the health of the population is maximised within the resources available. The Committees will consider the health needs of people and populations according to their capacity to benefit from health care interventions. So far as possible, it will respect the wishes of patients to choose between different clinically and cost</w:t>
      </w:r>
      <w:r w:rsidR="00DB611C">
        <w:noBreakHyphen/>
      </w:r>
      <w:r>
        <w:t>effective treatment options, subject to the support of the clinical evidence. This approach leads to three important principles:</w:t>
      </w:r>
    </w:p>
    <w:p w14:paraId="258DB3C4" w14:textId="77777777" w:rsidR="00DB611C" w:rsidRDefault="00DB611C" w:rsidP="00F45F0B">
      <w:pPr>
        <w:pStyle w:val="PoliciesText3"/>
      </w:pPr>
      <w:r>
        <w:t>i</w:t>
      </w:r>
      <w:r w:rsidR="001F6C65">
        <w:t>n the absence of evidence of health need, treatment will not generally be given solely because a patient requests i</w:t>
      </w:r>
      <w:r>
        <w:t>t;</w:t>
      </w:r>
    </w:p>
    <w:p w14:paraId="0ABFBC84" w14:textId="13512D19" w:rsidR="00DB611C" w:rsidRDefault="00DB611C" w:rsidP="001F6C65">
      <w:pPr>
        <w:pStyle w:val="PoliciesText3"/>
      </w:pPr>
      <w:r>
        <w:t>a</w:t>
      </w:r>
      <w:r w:rsidR="001F6C65">
        <w:t xml:space="preserve"> treatment of little benefit will not be provided simply because it is the only treatment available</w:t>
      </w:r>
      <w:r>
        <w:t>;</w:t>
      </w:r>
      <w:r w:rsidR="00A82A92">
        <w:t xml:space="preserve"> and</w:t>
      </w:r>
    </w:p>
    <w:p w14:paraId="0C87F2A7" w14:textId="3920227C" w:rsidR="001F6C65" w:rsidRDefault="00DB611C" w:rsidP="001F6C65">
      <w:pPr>
        <w:pStyle w:val="PoliciesText3"/>
      </w:pPr>
      <w:r>
        <w:t>t</w:t>
      </w:r>
      <w:r w:rsidR="001F6C65">
        <w:t>reatment which effectively treat life</w:t>
      </w:r>
      <w:r>
        <w:t>-</w:t>
      </w:r>
      <w:r w:rsidR="001F6C65">
        <w:t>time or long-term chronic conditions will be considered equally to urgent and life prolonging treatments</w:t>
      </w:r>
      <w:r w:rsidR="00A82A92">
        <w:t>.</w:t>
      </w:r>
    </w:p>
    <w:p w14:paraId="54008EA8" w14:textId="445381B1" w:rsidR="001F6C65" w:rsidRDefault="001F6C65" w:rsidP="00DB611C">
      <w:pPr>
        <w:pStyle w:val="PoliciesHeading2"/>
      </w:pPr>
      <w:bookmarkStart w:id="11" w:name="_Toc126829395"/>
      <w:r>
        <w:t xml:space="preserve">Cost of treatment and </w:t>
      </w:r>
      <w:r w:rsidR="00DB611C">
        <w:t>o</w:t>
      </w:r>
      <w:r>
        <w:t>pportunity costs</w:t>
      </w:r>
      <w:bookmarkEnd w:id="11"/>
      <w:r>
        <w:t xml:space="preserve"> </w:t>
      </w:r>
    </w:p>
    <w:p w14:paraId="346D9AD9" w14:textId="52A33439" w:rsidR="001F6C65" w:rsidRDefault="001F6C65" w:rsidP="00DB611C">
      <w:pPr>
        <w:ind w:left="851"/>
      </w:pPr>
      <w:r>
        <w:t>Because each ICB is duty-bound not to exceed its budget, the cost of treatment must be considered. The cost of treatment is significant because investing in one area of health care inevitably diverts resources from other uses. This is known as opportunity costs and is defined as benefit foregone, or value of opportunities lost, that would accrue by investing the same resources in the best alternative way. The concept derives from the notion of scarcity of resources. A single episode of treatment may be very expensive, or the cost of treating a whole community may be high.</w:t>
      </w:r>
    </w:p>
    <w:p w14:paraId="6BDA4C2C" w14:textId="0754452E" w:rsidR="001F6C65" w:rsidRDefault="001F6C65" w:rsidP="00DB611C">
      <w:pPr>
        <w:pStyle w:val="PoliciesHeading2"/>
      </w:pPr>
      <w:bookmarkStart w:id="12" w:name="_Toc126829396"/>
      <w:r>
        <w:t>Needs of the Community</w:t>
      </w:r>
      <w:bookmarkEnd w:id="12"/>
      <w:r>
        <w:t xml:space="preserve"> </w:t>
      </w:r>
    </w:p>
    <w:p w14:paraId="15917167" w14:textId="77777777" w:rsidR="00DB611C" w:rsidRDefault="001F6C65" w:rsidP="001F6C65">
      <w:pPr>
        <w:pStyle w:val="PoliciesText3"/>
      </w:pPr>
      <w:r>
        <w:t>Public health is an important concern of the Committees, and they will seek to make decisions which promote the health of the entire community. Some of these decisions are promoted by the Department of Health and Social Care (such as the guidance from NICE and National Service Frameworks). Others are produced locally. The Committees also support effective policies to promote preventive medicine which help stop people becoming ill in the first place.</w:t>
      </w:r>
    </w:p>
    <w:p w14:paraId="485E2289" w14:textId="0A1094FE" w:rsidR="001F6C65" w:rsidRDefault="001F6C65" w:rsidP="001F6C65">
      <w:pPr>
        <w:pStyle w:val="PoliciesText3"/>
      </w:pPr>
      <w:r>
        <w:t>Sometimes the needs of the community may conflict with the needs of individuals. Decisions are difficult when expensive treatment produces very little clinical benefit. For example, it may do little to improve the patient’s condition, or to stop, or slow the progression of disease. Where it has been decided that a treatment has a low priority and cannot generally be supported, a patient’s doctor may still seek to persuade the ICB that there are exceptional circumstances which mean that the patient should receive the treatment.</w:t>
      </w:r>
      <w:r w:rsidR="00767EE2" w:rsidRPr="00767EE2">
        <w:t xml:space="preserve"> </w:t>
      </w:r>
      <w:r w:rsidR="00767EE2">
        <w:t>(</w:t>
      </w:r>
      <w:hyperlink r:id="rId12" w:history="1">
        <w:r w:rsidR="00767EE2" w:rsidRPr="00767EE2">
          <w:rPr>
            <w:rStyle w:val="Hyperlink"/>
          </w:rPr>
          <w:t>DDICB IFR Policy, 2019)</w:t>
        </w:r>
      </w:hyperlink>
    </w:p>
    <w:p w14:paraId="5E5FB8C2" w14:textId="16D169A1" w:rsidR="001F6C65" w:rsidRDefault="001F6C65" w:rsidP="00DB611C">
      <w:pPr>
        <w:pStyle w:val="PoliciesHeading2"/>
      </w:pPr>
      <w:bookmarkStart w:id="13" w:name="_Toc126829397"/>
      <w:r>
        <w:lastRenderedPageBreak/>
        <w:t>Policy Driver</w:t>
      </w:r>
      <w:r w:rsidR="002F4AE0">
        <w:t>/Strategic Fit</w:t>
      </w:r>
      <w:bookmarkEnd w:id="13"/>
      <w:r w:rsidR="002F4AE0">
        <w:t xml:space="preserve"> </w:t>
      </w:r>
    </w:p>
    <w:p w14:paraId="094EA9D4" w14:textId="77777777" w:rsidR="002F4AE0" w:rsidRDefault="002F4AE0" w:rsidP="002F4AE0">
      <w:pPr>
        <w:pStyle w:val="PoliciesHeading3"/>
      </w:pPr>
      <w:r>
        <w:t xml:space="preserve">The aim is to achieve the greatest possible improvement in health outcome for our population, within the resources that the ICB has available.  </w:t>
      </w:r>
    </w:p>
    <w:p w14:paraId="1A8F8522" w14:textId="77777777" w:rsidR="002F4AE0" w:rsidRDefault="001F6C65" w:rsidP="001F6C65">
      <w:pPr>
        <w:pStyle w:val="PoliciesText3"/>
      </w:pPr>
      <w:r>
        <w:t xml:space="preserve">The Department of Health issues guidance and directions to NHS organisations which may give priority to some categories of patient or require treatment to be made available within a given period. These may affect the way in which health service resources are allocated by individual ICBs. The Committees operate with these factors in mind and recognise that their discretion may be affected by </w:t>
      </w:r>
      <w:r w:rsidR="002F4AE0">
        <w:t>the following:</w:t>
      </w:r>
    </w:p>
    <w:p w14:paraId="63E24BA3" w14:textId="1F8F5F39" w:rsidR="002F4AE0" w:rsidRDefault="001F6C65" w:rsidP="00726EA3">
      <w:pPr>
        <w:pStyle w:val="PoliciesText4"/>
      </w:pPr>
      <w:r>
        <w:t xml:space="preserve">National Service Frameworks </w:t>
      </w:r>
    </w:p>
    <w:p w14:paraId="74DEC55B" w14:textId="1F79A2C9" w:rsidR="002F4AE0" w:rsidRDefault="001F6C65" w:rsidP="00726EA3">
      <w:pPr>
        <w:pStyle w:val="PoliciesText4"/>
      </w:pPr>
      <w:r>
        <w:t>NICE technology appraisal guidance</w:t>
      </w:r>
    </w:p>
    <w:p w14:paraId="56A266FC" w14:textId="77777777" w:rsidR="002F4AE0" w:rsidRDefault="001F6C65" w:rsidP="00726EA3">
      <w:pPr>
        <w:pStyle w:val="PoliciesText4"/>
      </w:pPr>
      <w:r>
        <w:t>Secretary of State Directions to the NHS and performance and planning guidance</w:t>
      </w:r>
      <w:r w:rsidR="002F4AE0">
        <w:t xml:space="preserve">  </w:t>
      </w:r>
    </w:p>
    <w:p w14:paraId="08DC36AD" w14:textId="5DDDB79F" w:rsidR="00A82A92" w:rsidRDefault="002F4AE0" w:rsidP="00726EA3">
      <w:pPr>
        <w:pStyle w:val="PoliciesText4"/>
      </w:pPr>
      <w:r>
        <w:t>how the service fits within the delivery of current national targets for the system</w:t>
      </w:r>
    </w:p>
    <w:p w14:paraId="001A5D15" w14:textId="1866B950" w:rsidR="002F4AE0" w:rsidRDefault="002F4AE0" w:rsidP="00726EA3">
      <w:pPr>
        <w:pStyle w:val="PoliciesText4"/>
      </w:pPr>
      <w:r>
        <w:t>how the service align</w:t>
      </w:r>
      <w:r w:rsidR="00AD10DD">
        <w:t>s</w:t>
      </w:r>
      <w:r>
        <w:t xml:space="preserve"> with the STP/ICS strategi plan, Health and Wellbeing Board priorities </w:t>
      </w:r>
    </w:p>
    <w:p w14:paraId="3C35AB82" w14:textId="77777777" w:rsidR="002F4AE0" w:rsidRDefault="001F6C65" w:rsidP="002F4AE0">
      <w:pPr>
        <w:pStyle w:val="PoliciesText3"/>
      </w:pPr>
      <w:r>
        <w:t>Locally, choices about the funding of health care treatments will be informed by the needs of each individual ICB and these will be described in their Commissioning Strategy (QIPP) and Operating Plans.</w:t>
      </w:r>
    </w:p>
    <w:p w14:paraId="6CDDDDF1" w14:textId="75181B46" w:rsidR="001F6C65" w:rsidRDefault="001F6C65" w:rsidP="00A82A92">
      <w:pPr>
        <w:pStyle w:val="PoliciesHeading2"/>
      </w:pPr>
      <w:bookmarkStart w:id="14" w:name="_Toc126829398"/>
      <w:r>
        <w:t>Exceptional Need</w:t>
      </w:r>
      <w:bookmarkEnd w:id="14"/>
      <w:r>
        <w:t xml:space="preserve"> </w:t>
      </w:r>
    </w:p>
    <w:p w14:paraId="1698450A" w14:textId="33C5ED97" w:rsidR="001F6C65" w:rsidRPr="00767EE2" w:rsidRDefault="001F6C65" w:rsidP="00A82A92">
      <w:pPr>
        <w:ind w:left="851"/>
      </w:pPr>
      <w:r>
        <w:t xml:space="preserve">There will be no blanket bans on treatment since there may be cases in which a patient has special circumstances which present an exceptional need for treatment. Each case of this sort will be considered on its own merits in light of the clinical evidence. </w:t>
      </w:r>
      <w:r w:rsidR="00A82A92">
        <w:t>I</w:t>
      </w:r>
      <w:r>
        <w:t>CBs have procedures in place to consider such exceptional cases on their merits</w:t>
      </w:r>
      <w:r w:rsidR="00767EE2">
        <w:rPr>
          <w:b/>
          <w:bCs/>
          <w:vertAlign w:val="superscript"/>
        </w:rPr>
        <w:t xml:space="preserve"> </w:t>
      </w:r>
      <w:r w:rsidR="00767EE2">
        <w:rPr>
          <w:sz w:val="20"/>
          <w:szCs w:val="20"/>
        </w:rPr>
        <w:t>(</w:t>
      </w:r>
      <w:hyperlink r:id="rId13" w:history="1">
        <w:r w:rsidR="00767EE2" w:rsidRPr="00767EE2">
          <w:rPr>
            <w:rStyle w:val="Hyperlink"/>
          </w:rPr>
          <w:t>DDICB IFR Policy, 2019)</w:t>
        </w:r>
      </w:hyperlink>
      <w:r w:rsidR="00767EE2" w:rsidRPr="00767EE2">
        <w:t xml:space="preserve"> </w:t>
      </w:r>
    </w:p>
    <w:p w14:paraId="6A9D460E" w14:textId="10C6420E" w:rsidR="001F6C65" w:rsidRDefault="00A82A92" w:rsidP="00A82A92">
      <w:pPr>
        <w:pStyle w:val="PoliciesHeading1"/>
      </w:pPr>
      <w:bookmarkStart w:id="15" w:name="_Toc126829399"/>
      <w:r>
        <w:t>Equality Statement</w:t>
      </w:r>
      <w:bookmarkEnd w:id="15"/>
      <w:r>
        <w:t xml:space="preserve"> </w:t>
      </w:r>
    </w:p>
    <w:p w14:paraId="401EDA60" w14:textId="77777777" w:rsidR="00A82A92" w:rsidRDefault="001F6C65" w:rsidP="001F6C65">
      <w:pPr>
        <w:pStyle w:val="PoliciesText2"/>
      </w:pPr>
      <w:r>
        <w:t xml:space="preserve">The ICB aims to design and implement policy documents that meet the diverse needs of our services, population and workforce, ensuring that none are placed at a disadvantage over others. It takes into account current UK legislative requirements, including the Equality Act 2010 and the Human Rights Act 1998, and promotes equal opportunities for all. This document has been designed to ensure that no one receives less favourable treatment due to their protected characteristics of their age, disability, sex (gender), gender reassignment, sexual orientation, marriage and civil partnership, race, religion or belief, pregnancy and maternity. Appropriate consideration has also been given to gender identity, socio-economic status, immigration status and the principles of the Human Rights Act. </w:t>
      </w:r>
    </w:p>
    <w:p w14:paraId="36A27404" w14:textId="3DFA2309" w:rsidR="001F6C65" w:rsidRDefault="001F6C65" w:rsidP="001F6C65">
      <w:pPr>
        <w:pStyle w:val="PoliciesText2"/>
      </w:pPr>
      <w:r>
        <w:lastRenderedPageBreak/>
        <w:t xml:space="preserve">In carrying out its function, the ICB must have due regard to the Public Sector Equality Duty (PSED). This applies to all activities for which the ICB is responsible, including policy development, review and implementation. </w:t>
      </w:r>
    </w:p>
    <w:p w14:paraId="1149956C" w14:textId="3352C877" w:rsidR="001F6C65" w:rsidRDefault="00A82A92" w:rsidP="00A82A92">
      <w:pPr>
        <w:pStyle w:val="PoliciesHeading1"/>
      </w:pPr>
      <w:bookmarkStart w:id="16" w:name="_Toc126829400"/>
      <w:r>
        <w:t>Due Regard</w:t>
      </w:r>
      <w:bookmarkEnd w:id="16"/>
    </w:p>
    <w:p w14:paraId="50635E7E" w14:textId="7515246B" w:rsidR="001F6C65" w:rsidRDefault="001F6C65" w:rsidP="00A82A92">
      <w:pPr>
        <w:ind w:left="567"/>
      </w:pPr>
      <w:r>
        <w:t xml:space="preserve">This policy has been reviewed in relation to having due regard to the PSED of the Equality Act 2010 to eliminate discrimination; harassment; victimisation; to advance equality of opportunity; and foster good relations between the protected groups.  </w:t>
      </w:r>
    </w:p>
    <w:p w14:paraId="0F2CF300" w14:textId="2F26A9EE" w:rsidR="001F6C65" w:rsidRDefault="00A82A92" w:rsidP="00A82A92">
      <w:pPr>
        <w:pStyle w:val="PoliciesHeading1"/>
      </w:pPr>
      <w:bookmarkStart w:id="17" w:name="_Toc126829401"/>
      <w:r>
        <w:t>References/Supporting Documents</w:t>
      </w:r>
      <w:bookmarkEnd w:id="17"/>
    </w:p>
    <w:p w14:paraId="4A72F7B4" w14:textId="77777777" w:rsidR="001F6C65" w:rsidRDefault="001F6C65" w:rsidP="00AD10DD">
      <w:pPr>
        <w:pStyle w:val="ListParagraph"/>
        <w:numPr>
          <w:ilvl w:val="0"/>
          <w:numId w:val="9"/>
        </w:numPr>
        <w:ind w:left="1134" w:hanging="567"/>
      </w:pPr>
      <w:r>
        <w:t>NHSE Ethical Framework, Published 2013</w:t>
      </w:r>
    </w:p>
    <w:p w14:paraId="379590C7" w14:textId="2E334A0A" w:rsidR="001F6C65" w:rsidRDefault="00DF580B" w:rsidP="00A82A92">
      <w:pPr>
        <w:pStyle w:val="ListParagraph"/>
        <w:ind w:left="1134"/>
      </w:pPr>
      <w:hyperlink r:id="rId14" w:history="1">
        <w:r w:rsidR="00A82A92" w:rsidRPr="00DB69AC">
          <w:rPr>
            <w:rStyle w:val="Hyperlink"/>
          </w:rPr>
          <w:t>https://www.england.nhs.uk/wp-content/uploads/2013/04/cp-01.pdf</w:t>
        </w:r>
      </w:hyperlink>
      <w:r w:rsidR="00A82A92">
        <w:t xml:space="preserve"> </w:t>
      </w:r>
    </w:p>
    <w:p w14:paraId="7FDFFAB4" w14:textId="77777777" w:rsidR="001F6C65" w:rsidRDefault="001F6C65" w:rsidP="00AD10DD">
      <w:pPr>
        <w:pStyle w:val="ListParagraph"/>
        <w:numPr>
          <w:ilvl w:val="0"/>
          <w:numId w:val="9"/>
        </w:numPr>
        <w:ind w:left="1134" w:hanging="567"/>
      </w:pPr>
      <w:r>
        <w:t xml:space="preserve">Thames Valley CCG Priorities Committee Ethical Framework – Published 2016 </w:t>
      </w:r>
    </w:p>
    <w:p w14:paraId="4EA1D87B" w14:textId="7997FAAE" w:rsidR="001F6C65" w:rsidRDefault="00DF580B" w:rsidP="00A82A92">
      <w:pPr>
        <w:pStyle w:val="ListParagraph"/>
        <w:ind w:left="1134"/>
      </w:pPr>
      <w:hyperlink r:id="rId15" w:history="1">
        <w:r w:rsidR="00A82A92" w:rsidRPr="00DB69AC">
          <w:rPr>
            <w:rStyle w:val="Hyperlink"/>
          </w:rPr>
          <w:t>http://www.fundingrequests.cscsu.nhs.uk/wp-content/uploads/2015/08/Ethical-Framework-March-2016-final.pdf</w:t>
        </w:r>
      </w:hyperlink>
      <w:r w:rsidR="00A82A92">
        <w:t xml:space="preserve"> </w:t>
      </w:r>
    </w:p>
    <w:p w14:paraId="31FAC1B9" w14:textId="2303D3DD" w:rsidR="001F6C65" w:rsidRDefault="001F6C65" w:rsidP="00AD10DD">
      <w:pPr>
        <w:pStyle w:val="ListParagraph"/>
        <w:numPr>
          <w:ilvl w:val="0"/>
          <w:numId w:val="9"/>
        </w:numPr>
        <w:ind w:left="1134" w:hanging="567"/>
      </w:pPr>
      <w:r>
        <w:t xml:space="preserve">Portsmouth CCG </w:t>
      </w:r>
      <w:r w:rsidR="00A82A92">
        <w:t>–</w:t>
      </w:r>
      <w:r>
        <w:t xml:space="preserve"> Ethical Framework for Decision-making </w:t>
      </w:r>
      <w:hyperlink r:id="rId16" w:history="1">
        <w:r w:rsidR="00A82A92" w:rsidRPr="00DB69AC">
          <w:rPr>
            <w:rStyle w:val="Hyperlink"/>
          </w:rPr>
          <w:t>https://www.portsmouthccg.nhs.uk/publications-and-key-documents/ethical-framework-for-decision-making</w:t>
        </w:r>
      </w:hyperlink>
      <w:r w:rsidR="00A82A92">
        <w:t xml:space="preserve"> </w:t>
      </w:r>
    </w:p>
    <w:p w14:paraId="47D12AB5" w14:textId="2EF1825F" w:rsidR="001F2D08" w:rsidRPr="001F2D08" w:rsidRDefault="001F6C65" w:rsidP="00AD10DD">
      <w:pPr>
        <w:pStyle w:val="ListParagraph"/>
        <w:numPr>
          <w:ilvl w:val="0"/>
          <w:numId w:val="9"/>
        </w:numPr>
        <w:ind w:left="1134" w:hanging="567"/>
        <w:rPr>
          <w:rStyle w:val="Hyperlink"/>
          <w:color w:val="auto"/>
          <w:u w:val="none"/>
        </w:rPr>
      </w:pPr>
      <w:r>
        <w:t xml:space="preserve">Ethical dimensions of </w:t>
      </w:r>
      <w:r w:rsidR="00A82A92">
        <w:t>Covid</w:t>
      </w:r>
      <w:r>
        <w:t xml:space="preserve">-19 for </w:t>
      </w:r>
      <w:r w:rsidR="00A82A92">
        <w:t>Frontline Staff</w:t>
      </w:r>
      <w:r>
        <w:t xml:space="preserve">, Royal College of Physicians,  February 2021 </w:t>
      </w:r>
      <w:hyperlink r:id="rId17" w:history="1">
        <w:r w:rsidRPr="00A82A92">
          <w:rPr>
            <w:rStyle w:val="Hyperlink"/>
          </w:rPr>
          <w:t>Ethical guidance for publication_8-2-21_0.pdf</w:t>
        </w:r>
      </w:hyperlink>
      <w:r w:rsidR="001F2D08">
        <w:rPr>
          <w:rStyle w:val="Hyperlink"/>
        </w:rPr>
        <w:t xml:space="preserve">  </w:t>
      </w:r>
    </w:p>
    <w:p w14:paraId="2EB0C59B" w14:textId="1A44F593" w:rsidR="00A82A92" w:rsidRDefault="001F2D08" w:rsidP="00AD10DD">
      <w:pPr>
        <w:pStyle w:val="ListParagraph"/>
        <w:numPr>
          <w:ilvl w:val="0"/>
          <w:numId w:val="9"/>
        </w:numPr>
        <w:ind w:left="1134" w:hanging="567"/>
      </w:pPr>
      <w:r>
        <w:t xml:space="preserve">NHS Derby &amp; Derbyshire ICB Individual Funding Request Policy, published 2019, </w:t>
      </w:r>
      <w:hyperlink r:id="rId18" w:history="1">
        <w:r w:rsidRPr="00171C1B">
          <w:rPr>
            <w:rStyle w:val="Hyperlink"/>
          </w:rPr>
          <w:t>http://www.derbyshiremedicinesmanagement.nhs.uk/assets/Clinical-Policies/Goverance_Policies/IFR%20policy%20extented%20review%20April%202023.pdf</w:t>
        </w:r>
      </w:hyperlink>
      <w:r>
        <w:t xml:space="preserve"> </w:t>
      </w:r>
      <w:r>
        <w:br/>
      </w:r>
    </w:p>
    <w:p w14:paraId="1784CD2C" w14:textId="30DD23BD" w:rsidR="001F2D08" w:rsidRDefault="001F2D08" w:rsidP="00A82A92">
      <w:pPr>
        <w:sectPr w:rsidR="001F2D08" w:rsidSect="00874E97">
          <w:pgSz w:w="11906" w:h="16838" w:code="9"/>
          <w:pgMar w:top="1418" w:right="1418" w:bottom="1418" w:left="1418" w:header="851" w:footer="851" w:gutter="0"/>
          <w:cols w:space="708"/>
          <w:docGrid w:linePitch="360"/>
        </w:sectPr>
      </w:pPr>
    </w:p>
    <w:p w14:paraId="61B2B189" w14:textId="67F24939" w:rsidR="001F6C65" w:rsidRDefault="00A82A92" w:rsidP="00A82A92">
      <w:pPr>
        <w:pStyle w:val="AppendicesHeading"/>
      </w:pPr>
      <w:bookmarkStart w:id="18" w:name="_Toc126829402"/>
      <w:r>
        <w:lastRenderedPageBreak/>
        <w:t>Appendix 1 – Additional Considerations</w:t>
      </w:r>
      <w:bookmarkEnd w:id="18"/>
    </w:p>
    <w:p w14:paraId="1DA13175" w14:textId="1B1821A1" w:rsidR="001F6C65" w:rsidRDefault="001F6C65" w:rsidP="001F6C65">
      <w:r>
        <w:t xml:space="preserve">The following should be noted in addition to the ethical principles for decision-making: </w:t>
      </w:r>
    </w:p>
    <w:p w14:paraId="4586F889" w14:textId="77777777" w:rsidR="001F6C65" w:rsidRDefault="001F6C65" w:rsidP="00A82A92">
      <w:pPr>
        <w:pStyle w:val="AppendixHeading1"/>
      </w:pPr>
      <w:r>
        <w:t xml:space="preserve">Drug Trials </w:t>
      </w:r>
    </w:p>
    <w:p w14:paraId="30F16DDE" w14:textId="7300DB16" w:rsidR="001F6C65" w:rsidRDefault="001F6C65" w:rsidP="00A82A92">
      <w:pPr>
        <w:ind w:left="567"/>
      </w:pPr>
      <w:r>
        <w:t>Patients participating in clinical trials are entitled to be informed about the outcome of the trial and the arrangements for continuation of treatment after the trial has ended by the party initiating and funding the trial and not the</w:t>
      </w:r>
      <w:r w:rsidR="00A82A92">
        <w:t xml:space="preserve"> </w:t>
      </w:r>
      <w:r>
        <w:t>ICB, unless the ICB has either funded the trial itself or agreed in advance to fund aftercare for patients entering the trial.</w:t>
      </w:r>
    </w:p>
    <w:p w14:paraId="505C3397" w14:textId="77777777" w:rsidR="001F6C65" w:rsidRDefault="001F6C65" w:rsidP="00A82A92">
      <w:pPr>
        <w:pStyle w:val="AppendixHeading1"/>
      </w:pPr>
      <w:r>
        <w:t xml:space="preserve">Privately Funded Treatment </w:t>
      </w:r>
    </w:p>
    <w:p w14:paraId="755996FE" w14:textId="0FA55602" w:rsidR="001F6C65" w:rsidRDefault="001F6C65" w:rsidP="00A82A92">
      <w:pPr>
        <w:ind w:left="567"/>
      </w:pPr>
      <w:r>
        <w:t xml:space="preserve">Unless the requested treatment is approved under existing policies of the ICB, except in exceptional circumstances, the ICB will not commission a continuation of privately funded treatment even if that treatment has been shown to have clinical benefit for the individual patients. </w:t>
      </w:r>
      <w:r w:rsidRPr="00A82A92">
        <w:rPr>
          <w:b/>
          <w:bCs/>
        </w:rPr>
        <w:t>There may be some cases where a treatment is not available because there is limited evidence for how well it works or because it is very high cost and does</w:t>
      </w:r>
      <w:r w:rsidR="005C442C">
        <w:rPr>
          <w:b/>
          <w:bCs/>
        </w:rPr>
        <w:t xml:space="preserve"> </w:t>
      </w:r>
      <w:r w:rsidRPr="00A82A92">
        <w:rPr>
          <w:b/>
          <w:bCs/>
        </w:rPr>
        <w:t>n</w:t>
      </w:r>
      <w:r w:rsidR="005C442C">
        <w:rPr>
          <w:b/>
          <w:bCs/>
        </w:rPr>
        <w:t>o</w:t>
      </w:r>
      <w:r w:rsidRPr="00A82A92">
        <w:rPr>
          <w:b/>
          <w:bCs/>
        </w:rPr>
        <w:t>t offer good value for money for taxpayers and the NHS.</w:t>
      </w:r>
    </w:p>
    <w:p w14:paraId="41013D00" w14:textId="77777777" w:rsidR="001F6C65" w:rsidRDefault="001F6C65" w:rsidP="00A82A92">
      <w:pPr>
        <w:pStyle w:val="AppendixHeading1"/>
      </w:pPr>
      <w:r>
        <w:t>Rule of Rescue</w:t>
      </w:r>
    </w:p>
    <w:p w14:paraId="4D8E6999" w14:textId="77777777" w:rsidR="001F6C65" w:rsidRDefault="001F6C65" w:rsidP="00A82A92">
      <w:pPr>
        <w:ind w:left="567"/>
      </w:pPr>
      <w:r>
        <w:t>The fact that a patient has exhausted all NHS treatment options available for a particular condition is unlikely, in itself, to be sufficient to demonstrate exceptional circumstances. Equally, the fact that the patient is refractory to existing treatments where a recognised proportion of patients with the same presenting medical condition at this stage are, to a greater or lesser extent, refractory to existing treatments is unlikely, of itself, to be sufficient to demonstrate exceptional circumstances</w:t>
      </w:r>
    </w:p>
    <w:sectPr w:rsidR="001F6C65" w:rsidSect="00874E97">
      <w:pgSz w:w="11906" w:h="16838" w:code="9"/>
      <w:pgMar w:top="1418" w:right="1418" w:bottom="1418" w:left="1418" w:header="851" w:footer="8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7860" w14:textId="77777777" w:rsidR="00D64DC5" w:rsidRDefault="00D64DC5" w:rsidP="00483FAE">
      <w:pPr>
        <w:spacing w:line="240" w:lineRule="auto"/>
      </w:pPr>
      <w:r>
        <w:separator/>
      </w:r>
    </w:p>
  </w:endnote>
  <w:endnote w:type="continuationSeparator" w:id="0">
    <w:p w14:paraId="7417F251" w14:textId="77777777" w:rsidR="00D64DC5" w:rsidRDefault="00D64DC5" w:rsidP="00483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F4AF" w14:textId="77777777" w:rsidR="00D90296" w:rsidRDefault="00D90296">
    <w:pPr>
      <w:pStyle w:val="Footer"/>
      <w:jc w:val="right"/>
    </w:pPr>
  </w:p>
  <w:p w14:paraId="6C6B5897" w14:textId="77777777" w:rsidR="007A0460" w:rsidRDefault="00D90296" w:rsidP="004C7F76">
    <w:pPr>
      <w:pStyle w:val="Footer"/>
      <w:spacing w:before="0"/>
      <w:rPr>
        <w:sz w:val="20"/>
        <w:szCs w:val="20"/>
      </w:rPr>
    </w:pPr>
    <w:r w:rsidRPr="00DC6860">
      <w:rPr>
        <w:sz w:val="20"/>
        <w:szCs w:val="20"/>
      </w:rPr>
      <w:t xml:space="preserve">NHS </w:t>
    </w:r>
    <w:r w:rsidRPr="004C7F76">
      <w:rPr>
        <w:sz w:val="20"/>
        <w:szCs w:val="20"/>
      </w:rPr>
      <w:t xml:space="preserve">Derby and Derbyshire </w:t>
    </w:r>
    <w:r w:rsidR="00610322">
      <w:rPr>
        <w:sz w:val="20"/>
        <w:szCs w:val="20"/>
      </w:rPr>
      <w:t>Integrated Care Board</w:t>
    </w:r>
  </w:p>
  <w:p w14:paraId="70B122A6" w14:textId="0D2506FC" w:rsidR="00D90296" w:rsidRPr="00DC6860" w:rsidRDefault="004C1B91" w:rsidP="004C7F76">
    <w:pPr>
      <w:pStyle w:val="Footer"/>
      <w:spacing w:before="0"/>
      <w:rPr>
        <w:sz w:val="20"/>
        <w:szCs w:val="20"/>
      </w:rPr>
    </w:pPr>
    <w:r>
      <w:rPr>
        <w:sz w:val="20"/>
        <w:szCs w:val="20"/>
      </w:rPr>
      <w:t>Ethical Framework for Decision-Making</w:t>
    </w:r>
    <w:r w:rsidR="00191CCA">
      <w:rPr>
        <w:sz w:val="20"/>
        <w:szCs w:val="20"/>
      </w:rPr>
      <w:t xml:space="preserve"> </w:t>
    </w:r>
    <w:r w:rsidR="00D90296" w:rsidRPr="00C71FDA">
      <w:rPr>
        <w:sz w:val="20"/>
        <w:szCs w:val="20"/>
      </w:rPr>
      <w:t xml:space="preserve">Policy </w:t>
    </w:r>
    <w:r w:rsidR="00D90296">
      <w:rPr>
        <w:sz w:val="20"/>
        <w:szCs w:val="20"/>
      </w:rPr>
      <w:t>v</w:t>
    </w:r>
    <w:r w:rsidR="0013544A">
      <w:rPr>
        <w:sz w:val="20"/>
        <w:szCs w:val="20"/>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174939"/>
      <w:docPartObj>
        <w:docPartGallery w:val="Page Numbers (Bottom of Page)"/>
        <w:docPartUnique/>
      </w:docPartObj>
    </w:sdtPr>
    <w:sdtEndPr/>
    <w:sdtContent>
      <w:sdt>
        <w:sdtPr>
          <w:id w:val="-303169543"/>
          <w:docPartObj>
            <w:docPartGallery w:val="Page Numbers (Top of Page)"/>
            <w:docPartUnique/>
          </w:docPartObj>
        </w:sdtPr>
        <w:sdtEndPr/>
        <w:sdtContent>
          <w:p w14:paraId="06AA3BDF" w14:textId="64270F1B" w:rsidR="00193313" w:rsidRDefault="00193313" w:rsidP="00193313">
            <w:pPr>
              <w:pStyle w:val="Footer"/>
              <w:spacing w:before="0"/>
            </w:pPr>
          </w:p>
          <w:p w14:paraId="4BC78F96" w14:textId="77777777" w:rsidR="00193313" w:rsidRPr="00DC6860" w:rsidRDefault="00193313" w:rsidP="00193313">
            <w:pPr>
              <w:pStyle w:val="Footer"/>
              <w:spacing w:before="0"/>
              <w:rPr>
                <w:sz w:val="20"/>
                <w:szCs w:val="20"/>
              </w:rPr>
            </w:pPr>
            <w:r w:rsidRPr="00DC6860">
              <w:rPr>
                <w:sz w:val="20"/>
                <w:szCs w:val="20"/>
              </w:rPr>
              <w:t xml:space="preserve">NHS </w:t>
            </w:r>
            <w:r w:rsidRPr="004C7F76">
              <w:rPr>
                <w:sz w:val="20"/>
                <w:szCs w:val="20"/>
              </w:rPr>
              <w:t xml:space="preserve">Derby and Derbyshire </w:t>
            </w:r>
            <w:r>
              <w:rPr>
                <w:sz w:val="20"/>
                <w:szCs w:val="20"/>
              </w:rPr>
              <w:t>Integrated Care Board</w:t>
            </w:r>
          </w:p>
          <w:p w14:paraId="41DC4276" w14:textId="7AFDF98D" w:rsidR="00193313" w:rsidRPr="00DC6860" w:rsidRDefault="001F6C65" w:rsidP="00193313">
            <w:pPr>
              <w:pStyle w:val="Footer"/>
              <w:spacing w:before="0"/>
              <w:rPr>
                <w:sz w:val="20"/>
                <w:szCs w:val="20"/>
              </w:rPr>
            </w:pPr>
            <w:r>
              <w:rPr>
                <w:sz w:val="20"/>
                <w:szCs w:val="20"/>
              </w:rPr>
              <w:t>Ethical Framework for Decision-Making</w:t>
            </w:r>
            <w:r w:rsidR="00193313" w:rsidRPr="00C71FDA">
              <w:rPr>
                <w:sz w:val="20"/>
                <w:szCs w:val="20"/>
              </w:rPr>
              <w:t xml:space="preserve"> Policy </w:t>
            </w:r>
            <w:r w:rsidR="00193313">
              <w:rPr>
                <w:sz w:val="20"/>
                <w:szCs w:val="20"/>
              </w:rPr>
              <w:t>v</w:t>
            </w:r>
            <w:r w:rsidR="0013544A">
              <w:rPr>
                <w:sz w:val="20"/>
                <w:szCs w:val="20"/>
              </w:rPr>
              <w:t>1.0</w:t>
            </w:r>
          </w:p>
          <w:p w14:paraId="2626A454" w14:textId="76ADDAA7" w:rsidR="00D90296" w:rsidRPr="00192CA5" w:rsidRDefault="00D90296" w:rsidP="00192CA5">
            <w:pPr>
              <w:pStyle w:val="Footer"/>
              <w:spacing w:before="0"/>
              <w:rPr>
                <w:sz w:val="20"/>
                <w:szCs w:val="20"/>
              </w:rPr>
            </w:pPr>
            <w:r>
              <w:rPr>
                <w:sz w:val="20"/>
                <w:szCs w:val="20"/>
              </w:rPr>
              <w:tab/>
            </w:r>
            <w:r>
              <w:rPr>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1AA1" w14:textId="77777777" w:rsidR="00D64DC5" w:rsidRDefault="00D64DC5" w:rsidP="00483FAE">
      <w:pPr>
        <w:spacing w:line="240" w:lineRule="auto"/>
      </w:pPr>
      <w:r>
        <w:separator/>
      </w:r>
    </w:p>
  </w:footnote>
  <w:footnote w:type="continuationSeparator" w:id="0">
    <w:p w14:paraId="27DAE35B" w14:textId="77777777" w:rsidR="00D64DC5" w:rsidRDefault="00D64DC5" w:rsidP="00483FAE">
      <w:pPr>
        <w:spacing w:line="240" w:lineRule="auto"/>
      </w:pPr>
      <w:r>
        <w:continuationSeparator/>
      </w:r>
    </w:p>
  </w:footnote>
  <w:footnote w:id="1">
    <w:p w14:paraId="780A50F5" w14:textId="38ED9EA9" w:rsidR="00DB611C" w:rsidRDefault="00DB611C">
      <w:pPr>
        <w:pStyle w:val="FootnoteText"/>
      </w:pPr>
      <w:r>
        <w:rPr>
          <w:rStyle w:val="FootnoteReference"/>
        </w:rPr>
        <w:footnoteRef/>
      </w:r>
      <w:r>
        <w:t xml:space="preserve"> Health care need is a health problem which can be addressed by a known clinically effective intervention. Not all health problems can be addressed.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2F36" w14:textId="30937610" w:rsidR="00D90296" w:rsidRDefault="009F49B2" w:rsidP="003E7C9E">
    <w:pPr>
      <w:pStyle w:val="Header"/>
      <w:jc w:val="left"/>
      <w:rPr>
        <w:noProof/>
        <w:lang w:eastAsia="en-GB"/>
      </w:rPr>
    </w:pPr>
    <w:r>
      <w:rPr>
        <w:noProof/>
      </w:rPr>
      <w:drawing>
        <wp:anchor distT="0" distB="0" distL="114300" distR="114300" simplePos="0" relativeHeight="251661312" behindDoc="1" locked="0" layoutInCell="1" allowOverlap="1" wp14:anchorId="3BFE88BF" wp14:editId="2ED0D816">
          <wp:simplePos x="0" y="0"/>
          <wp:positionH relativeFrom="page">
            <wp:posOffset>5561965</wp:posOffset>
          </wp:positionH>
          <wp:positionV relativeFrom="paragraph">
            <wp:posOffset>-539750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193313">
      <w:rPr>
        <w:noProof/>
      </w:rPr>
      <w:drawing>
        <wp:anchor distT="0" distB="0" distL="114300" distR="114300" simplePos="0" relativeHeight="251659264" behindDoc="1" locked="0" layoutInCell="1" allowOverlap="1" wp14:anchorId="369D6F73" wp14:editId="2053B1C8">
          <wp:simplePos x="0" y="0"/>
          <wp:positionH relativeFrom="page">
            <wp:posOffset>8679180</wp:posOffset>
          </wp:positionH>
          <wp:positionV relativeFrom="paragraph">
            <wp:posOffset>-495300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85D"/>
    <w:multiLevelType w:val="multilevel"/>
    <w:tmpl w:val="16CE5076"/>
    <w:lvl w:ilvl="0">
      <w:start w:val="1"/>
      <w:numFmt w:val="decimal"/>
      <w:pStyle w:val="PoliciesHeading1"/>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Text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Policies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PoliciesText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0D665E"/>
    <w:multiLevelType w:val="multilevel"/>
    <w:tmpl w:val="62B2B5F4"/>
    <w:numStyleLink w:val="AppendicesHeadings"/>
  </w:abstractNum>
  <w:abstractNum w:abstractNumId="2"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460C18"/>
    <w:multiLevelType w:val="multilevel"/>
    <w:tmpl w:val="62B2B5F4"/>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5B66004"/>
    <w:multiLevelType w:val="hybridMultilevel"/>
    <w:tmpl w:val="7272EF7A"/>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6AB85A92"/>
    <w:multiLevelType w:val="multilevel"/>
    <w:tmpl w:val="535C581E"/>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6684346"/>
    <w:multiLevelType w:val="multilevel"/>
    <w:tmpl w:val="9236A922"/>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AD80D21"/>
    <w:multiLevelType w:val="hybridMultilevel"/>
    <w:tmpl w:val="A2948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73209">
    <w:abstractNumId w:val="2"/>
  </w:num>
  <w:num w:numId="2" w16cid:durableId="1140534474">
    <w:abstractNumId w:val="0"/>
  </w:num>
  <w:num w:numId="3" w16cid:durableId="1339842855">
    <w:abstractNumId w:val="6"/>
  </w:num>
  <w:num w:numId="4" w16cid:durableId="1939438724">
    <w:abstractNumId w:val="4"/>
  </w:num>
  <w:num w:numId="5" w16cid:durableId="1358190044">
    <w:abstractNumId w:val="7"/>
  </w:num>
  <w:num w:numId="6" w16cid:durableId="1180241092">
    <w:abstractNumId w:val="3"/>
  </w:num>
  <w:num w:numId="7" w16cid:durableId="1353918560">
    <w:abstractNumId w:val="1"/>
  </w:num>
  <w:num w:numId="8" w16cid:durableId="1050764533">
    <w:abstractNumId w:val="8"/>
  </w:num>
  <w:num w:numId="9" w16cid:durableId="2055081114">
    <w:abstractNumId w:val="9"/>
  </w:num>
  <w:num w:numId="10" w16cid:durableId="1637174716">
    <w:abstractNumId w:val="5"/>
  </w:num>
  <w:num w:numId="11" w16cid:durableId="672269844">
    <w:abstractNumId w:val="0"/>
  </w:num>
  <w:num w:numId="12" w16cid:durableId="31812373">
    <w:abstractNumId w:val="0"/>
  </w:num>
  <w:num w:numId="13" w16cid:durableId="1759476806">
    <w:abstractNumId w:val="0"/>
  </w:num>
  <w:num w:numId="14" w16cid:durableId="520631556">
    <w:abstractNumId w:val="0"/>
  </w:num>
  <w:num w:numId="15" w16cid:durableId="473059701">
    <w:abstractNumId w:val="0"/>
  </w:num>
  <w:num w:numId="16" w16cid:durableId="1760522520">
    <w:abstractNumId w:val="0"/>
  </w:num>
  <w:num w:numId="17" w16cid:durableId="1277250790">
    <w:abstractNumId w:val="0"/>
  </w:num>
  <w:num w:numId="18" w16cid:durableId="1318995972">
    <w:abstractNumId w:val="0"/>
  </w:num>
  <w:num w:numId="19" w16cid:durableId="105474026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3179"/>
    <w:rsid w:val="00006129"/>
    <w:rsid w:val="00010027"/>
    <w:rsid w:val="000152FF"/>
    <w:rsid w:val="0002259A"/>
    <w:rsid w:val="00026C09"/>
    <w:rsid w:val="00034B62"/>
    <w:rsid w:val="000409CC"/>
    <w:rsid w:val="00046915"/>
    <w:rsid w:val="00054821"/>
    <w:rsid w:val="00055197"/>
    <w:rsid w:val="0006326E"/>
    <w:rsid w:val="000638C7"/>
    <w:rsid w:val="00063932"/>
    <w:rsid w:val="0006438D"/>
    <w:rsid w:val="0007562A"/>
    <w:rsid w:val="000768C7"/>
    <w:rsid w:val="000771E5"/>
    <w:rsid w:val="000836F4"/>
    <w:rsid w:val="00083B10"/>
    <w:rsid w:val="00085B10"/>
    <w:rsid w:val="00094F10"/>
    <w:rsid w:val="000A2994"/>
    <w:rsid w:val="000A5FD3"/>
    <w:rsid w:val="000B253B"/>
    <w:rsid w:val="000B5169"/>
    <w:rsid w:val="000C11E0"/>
    <w:rsid w:val="000C4F2C"/>
    <w:rsid w:val="000C607F"/>
    <w:rsid w:val="000D397C"/>
    <w:rsid w:val="000D415A"/>
    <w:rsid w:val="000D5D15"/>
    <w:rsid w:val="000D7E44"/>
    <w:rsid w:val="000E1812"/>
    <w:rsid w:val="000E3004"/>
    <w:rsid w:val="000E43E7"/>
    <w:rsid w:val="000E4954"/>
    <w:rsid w:val="000F39EB"/>
    <w:rsid w:val="000F43A8"/>
    <w:rsid w:val="000F74DC"/>
    <w:rsid w:val="00100109"/>
    <w:rsid w:val="00107A85"/>
    <w:rsid w:val="00110EA6"/>
    <w:rsid w:val="001137FB"/>
    <w:rsid w:val="00117153"/>
    <w:rsid w:val="0013544A"/>
    <w:rsid w:val="00142A93"/>
    <w:rsid w:val="0014708C"/>
    <w:rsid w:val="0015507F"/>
    <w:rsid w:val="00157F27"/>
    <w:rsid w:val="001616C9"/>
    <w:rsid w:val="00161A84"/>
    <w:rsid w:val="001646F3"/>
    <w:rsid w:val="001648A7"/>
    <w:rsid w:val="00165649"/>
    <w:rsid w:val="0016724B"/>
    <w:rsid w:val="001736D4"/>
    <w:rsid w:val="00174CD0"/>
    <w:rsid w:val="0017637E"/>
    <w:rsid w:val="001769DF"/>
    <w:rsid w:val="00186DF4"/>
    <w:rsid w:val="001912A9"/>
    <w:rsid w:val="00191CCA"/>
    <w:rsid w:val="001922E8"/>
    <w:rsid w:val="00192CA5"/>
    <w:rsid w:val="00193313"/>
    <w:rsid w:val="0019479A"/>
    <w:rsid w:val="0019541B"/>
    <w:rsid w:val="001979C7"/>
    <w:rsid w:val="001A0DEA"/>
    <w:rsid w:val="001A5164"/>
    <w:rsid w:val="001B004F"/>
    <w:rsid w:val="001B07BE"/>
    <w:rsid w:val="001B41AB"/>
    <w:rsid w:val="001C2759"/>
    <w:rsid w:val="001C34AB"/>
    <w:rsid w:val="001D0262"/>
    <w:rsid w:val="001D550A"/>
    <w:rsid w:val="001E125D"/>
    <w:rsid w:val="001E1698"/>
    <w:rsid w:val="001E2A77"/>
    <w:rsid w:val="001E4270"/>
    <w:rsid w:val="001F271E"/>
    <w:rsid w:val="001F2D08"/>
    <w:rsid w:val="001F6C65"/>
    <w:rsid w:val="001F799E"/>
    <w:rsid w:val="00201D06"/>
    <w:rsid w:val="002021C7"/>
    <w:rsid w:val="00202E56"/>
    <w:rsid w:val="00204E14"/>
    <w:rsid w:val="00210F0F"/>
    <w:rsid w:val="00211A64"/>
    <w:rsid w:val="0021240A"/>
    <w:rsid w:val="002215CB"/>
    <w:rsid w:val="00223A90"/>
    <w:rsid w:val="00224840"/>
    <w:rsid w:val="00232F08"/>
    <w:rsid w:val="00236D80"/>
    <w:rsid w:val="0024167F"/>
    <w:rsid w:val="00242C48"/>
    <w:rsid w:val="0024568F"/>
    <w:rsid w:val="00252A06"/>
    <w:rsid w:val="002576B3"/>
    <w:rsid w:val="00261E87"/>
    <w:rsid w:val="00264E54"/>
    <w:rsid w:val="00267494"/>
    <w:rsid w:val="00274B16"/>
    <w:rsid w:val="0028554E"/>
    <w:rsid w:val="00290B0E"/>
    <w:rsid w:val="002913C6"/>
    <w:rsid w:val="0029543D"/>
    <w:rsid w:val="00296B8F"/>
    <w:rsid w:val="002A705D"/>
    <w:rsid w:val="002A7D1B"/>
    <w:rsid w:val="002B0AF1"/>
    <w:rsid w:val="002B4F8F"/>
    <w:rsid w:val="002B7C57"/>
    <w:rsid w:val="002C4BE3"/>
    <w:rsid w:val="002C5CA4"/>
    <w:rsid w:val="002C7229"/>
    <w:rsid w:val="002C735F"/>
    <w:rsid w:val="002D6993"/>
    <w:rsid w:val="002F09E5"/>
    <w:rsid w:val="002F22C1"/>
    <w:rsid w:val="002F4AE0"/>
    <w:rsid w:val="00310382"/>
    <w:rsid w:val="003143C5"/>
    <w:rsid w:val="00314A21"/>
    <w:rsid w:val="00317F61"/>
    <w:rsid w:val="00317F8A"/>
    <w:rsid w:val="003208D8"/>
    <w:rsid w:val="003270C6"/>
    <w:rsid w:val="00340086"/>
    <w:rsid w:val="00344152"/>
    <w:rsid w:val="003460DB"/>
    <w:rsid w:val="003509FC"/>
    <w:rsid w:val="003545EA"/>
    <w:rsid w:val="00356340"/>
    <w:rsid w:val="0036516C"/>
    <w:rsid w:val="00366ADB"/>
    <w:rsid w:val="0037217E"/>
    <w:rsid w:val="00377211"/>
    <w:rsid w:val="00384098"/>
    <w:rsid w:val="00385D46"/>
    <w:rsid w:val="00391B1C"/>
    <w:rsid w:val="003953E9"/>
    <w:rsid w:val="00397D7A"/>
    <w:rsid w:val="003B193C"/>
    <w:rsid w:val="003B7CF2"/>
    <w:rsid w:val="003C0E5A"/>
    <w:rsid w:val="003C27BD"/>
    <w:rsid w:val="003C31DC"/>
    <w:rsid w:val="003D3393"/>
    <w:rsid w:val="003D51CE"/>
    <w:rsid w:val="003D7125"/>
    <w:rsid w:val="003E077A"/>
    <w:rsid w:val="003E63B3"/>
    <w:rsid w:val="003E7C9E"/>
    <w:rsid w:val="003F3785"/>
    <w:rsid w:val="003F42BF"/>
    <w:rsid w:val="003F79F3"/>
    <w:rsid w:val="004022C4"/>
    <w:rsid w:val="004045DE"/>
    <w:rsid w:val="00412722"/>
    <w:rsid w:val="004216AD"/>
    <w:rsid w:val="00425E1A"/>
    <w:rsid w:val="00427F76"/>
    <w:rsid w:val="00434CC7"/>
    <w:rsid w:val="00440C7F"/>
    <w:rsid w:val="00443EE9"/>
    <w:rsid w:val="00444609"/>
    <w:rsid w:val="004465F1"/>
    <w:rsid w:val="00446A2F"/>
    <w:rsid w:val="004611AA"/>
    <w:rsid w:val="0046251E"/>
    <w:rsid w:val="004665CE"/>
    <w:rsid w:val="00467A5E"/>
    <w:rsid w:val="00470571"/>
    <w:rsid w:val="004815CF"/>
    <w:rsid w:val="00483FAE"/>
    <w:rsid w:val="00485138"/>
    <w:rsid w:val="00487F76"/>
    <w:rsid w:val="00496E6A"/>
    <w:rsid w:val="004A09C9"/>
    <w:rsid w:val="004A1F2F"/>
    <w:rsid w:val="004A28F9"/>
    <w:rsid w:val="004A3349"/>
    <w:rsid w:val="004A39C8"/>
    <w:rsid w:val="004A3C9F"/>
    <w:rsid w:val="004B1895"/>
    <w:rsid w:val="004B48BF"/>
    <w:rsid w:val="004B6434"/>
    <w:rsid w:val="004C1B91"/>
    <w:rsid w:val="004C7F76"/>
    <w:rsid w:val="004E0B27"/>
    <w:rsid w:val="004E0E23"/>
    <w:rsid w:val="004E629F"/>
    <w:rsid w:val="004F41DC"/>
    <w:rsid w:val="00503C02"/>
    <w:rsid w:val="005042FF"/>
    <w:rsid w:val="00504E8E"/>
    <w:rsid w:val="005071BF"/>
    <w:rsid w:val="00507848"/>
    <w:rsid w:val="005130FD"/>
    <w:rsid w:val="00513BA0"/>
    <w:rsid w:val="00516F4B"/>
    <w:rsid w:val="005216D9"/>
    <w:rsid w:val="00522BD3"/>
    <w:rsid w:val="005234CE"/>
    <w:rsid w:val="00524608"/>
    <w:rsid w:val="005248FF"/>
    <w:rsid w:val="00524F0C"/>
    <w:rsid w:val="00531BFA"/>
    <w:rsid w:val="00532302"/>
    <w:rsid w:val="00535636"/>
    <w:rsid w:val="005366CC"/>
    <w:rsid w:val="005372BE"/>
    <w:rsid w:val="00540C38"/>
    <w:rsid w:val="00542BC0"/>
    <w:rsid w:val="00544EA2"/>
    <w:rsid w:val="00560A1B"/>
    <w:rsid w:val="005649DF"/>
    <w:rsid w:val="0056664F"/>
    <w:rsid w:val="0056674F"/>
    <w:rsid w:val="00566E3A"/>
    <w:rsid w:val="00583036"/>
    <w:rsid w:val="005839CC"/>
    <w:rsid w:val="005855E5"/>
    <w:rsid w:val="00597393"/>
    <w:rsid w:val="005A116F"/>
    <w:rsid w:val="005A2358"/>
    <w:rsid w:val="005A4E48"/>
    <w:rsid w:val="005A65BB"/>
    <w:rsid w:val="005A73A3"/>
    <w:rsid w:val="005C1D98"/>
    <w:rsid w:val="005C31A4"/>
    <w:rsid w:val="005C442C"/>
    <w:rsid w:val="005C5D63"/>
    <w:rsid w:val="005C6865"/>
    <w:rsid w:val="005D51B9"/>
    <w:rsid w:val="005E06BB"/>
    <w:rsid w:val="005E3543"/>
    <w:rsid w:val="005E5037"/>
    <w:rsid w:val="005E5F9B"/>
    <w:rsid w:val="005F07F7"/>
    <w:rsid w:val="005F0916"/>
    <w:rsid w:val="005F20B1"/>
    <w:rsid w:val="005F3736"/>
    <w:rsid w:val="005F464E"/>
    <w:rsid w:val="005F722A"/>
    <w:rsid w:val="00602FE1"/>
    <w:rsid w:val="00605793"/>
    <w:rsid w:val="0061029B"/>
    <w:rsid w:val="00610322"/>
    <w:rsid w:val="00611393"/>
    <w:rsid w:val="00613E2C"/>
    <w:rsid w:val="00614E7A"/>
    <w:rsid w:val="00615E76"/>
    <w:rsid w:val="00616025"/>
    <w:rsid w:val="00620668"/>
    <w:rsid w:val="006257CE"/>
    <w:rsid w:val="00626D70"/>
    <w:rsid w:val="00627973"/>
    <w:rsid w:val="00631C6F"/>
    <w:rsid w:val="00643582"/>
    <w:rsid w:val="006523AE"/>
    <w:rsid w:val="00654104"/>
    <w:rsid w:val="00667BED"/>
    <w:rsid w:val="00670AB1"/>
    <w:rsid w:val="00671A82"/>
    <w:rsid w:val="006745DA"/>
    <w:rsid w:val="00677A9B"/>
    <w:rsid w:val="00680075"/>
    <w:rsid w:val="006813AA"/>
    <w:rsid w:val="006827DE"/>
    <w:rsid w:val="006848EF"/>
    <w:rsid w:val="006909A0"/>
    <w:rsid w:val="00695210"/>
    <w:rsid w:val="006966FC"/>
    <w:rsid w:val="006A04D7"/>
    <w:rsid w:val="006A6506"/>
    <w:rsid w:val="006B22D1"/>
    <w:rsid w:val="006B29E4"/>
    <w:rsid w:val="006B6FC6"/>
    <w:rsid w:val="006C18DC"/>
    <w:rsid w:val="006C398C"/>
    <w:rsid w:val="006C4330"/>
    <w:rsid w:val="006C5695"/>
    <w:rsid w:val="006C6FE3"/>
    <w:rsid w:val="006D23D1"/>
    <w:rsid w:val="006D2699"/>
    <w:rsid w:val="006D4C9C"/>
    <w:rsid w:val="006E032D"/>
    <w:rsid w:val="006F2DF1"/>
    <w:rsid w:val="006F73CB"/>
    <w:rsid w:val="00704F7D"/>
    <w:rsid w:val="007110FD"/>
    <w:rsid w:val="007217FF"/>
    <w:rsid w:val="00721D05"/>
    <w:rsid w:val="00723450"/>
    <w:rsid w:val="00723E06"/>
    <w:rsid w:val="00725B48"/>
    <w:rsid w:val="00726084"/>
    <w:rsid w:val="00726E8D"/>
    <w:rsid w:val="00726EA3"/>
    <w:rsid w:val="007279C2"/>
    <w:rsid w:val="00730D3D"/>
    <w:rsid w:val="00730E52"/>
    <w:rsid w:val="007351E0"/>
    <w:rsid w:val="00741472"/>
    <w:rsid w:val="00741EF2"/>
    <w:rsid w:val="007423BF"/>
    <w:rsid w:val="00746D77"/>
    <w:rsid w:val="00751ABE"/>
    <w:rsid w:val="00753C1D"/>
    <w:rsid w:val="007558D2"/>
    <w:rsid w:val="00764923"/>
    <w:rsid w:val="0076754C"/>
    <w:rsid w:val="00767EE2"/>
    <w:rsid w:val="00771D49"/>
    <w:rsid w:val="00773EC7"/>
    <w:rsid w:val="007741F3"/>
    <w:rsid w:val="00782F64"/>
    <w:rsid w:val="007842A2"/>
    <w:rsid w:val="00786406"/>
    <w:rsid w:val="00792CEF"/>
    <w:rsid w:val="007A0460"/>
    <w:rsid w:val="007A0887"/>
    <w:rsid w:val="007A116D"/>
    <w:rsid w:val="007A2091"/>
    <w:rsid w:val="007A2671"/>
    <w:rsid w:val="007A476E"/>
    <w:rsid w:val="007A55C5"/>
    <w:rsid w:val="007A6F83"/>
    <w:rsid w:val="007C0B5D"/>
    <w:rsid w:val="007C56F5"/>
    <w:rsid w:val="007E430D"/>
    <w:rsid w:val="007E4659"/>
    <w:rsid w:val="007E5683"/>
    <w:rsid w:val="007F053E"/>
    <w:rsid w:val="007F112D"/>
    <w:rsid w:val="007F1F2E"/>
    <w:rsid w:val="007F3932"/>
    <w:rsid w:val="007F3DFD"/>
    <w:rsid w:val="007F4E3D"/>
    <w:rsid w:val="00806CA6"/>
    <w:rsid w:val="008115CE"/>
    <w:rsid w:val="00814140"/>
    <w:rsid w:val="00815017"/>
    <w:rsid w:val="0081645E"/>
    <w:rsid w:val="008200AF"/>
    <w:rsid w:val="00822578"/>
    <w:rsid w:val="008254CC"/>
    <w:rsid w:val="00827D4C"/>
    <w:rsid w:val="008301C2"/>
    <w:rsid w:val="00830E63"/>
    <w:rsid w:val="00830FB2"/>
    <w:rsid w:val="008326FF"/>
    <w:rsid w:val="00837259"/>
    <w:rsid w:val="008425A4"/>
    <w:rsid w:val="00843B80"/>
    <w:rsid w:val="00852DAE"/>
    <w:rsid w:val="0085356D"/>
    <w:rsid w:val="008566E6"/>
    <w:rsid w:val="008574FF"/>
    <w:rsid w:val="00863EA6"/>
    <w:rsid w:val="00872643"/>
    <w:rsid w:val="00873DE7"/>
    <w:rsid w:val="008745DE"/>
    <w:rsid w:val="00874E97"/>
    <w:rsid w:val="00874E99"/>
    <w:rsid w:val="00877DF0"/>
    <w:rsid w:val="00883EC1"/>
    <w:rsid w:val="008865F7"/>
    <w:rsid w:val="0089294B"/>
    <w:rsid w:val="00894E32"/>
    <w:rsid w:val="008A2194"/>
    <w:rsid w:val="008A266E"/>
    <w:rsid w:val="008B16E5"/>
    <w:rsid w:val="008B217F"/>
    <w:rsid w:val="008B34D4"/>
    <w:rsid w:val="008B7ADB"/>
    <w:rsid w:val="008C0A62"/>
    <w:rsid w:val="008C186D"/>
    <w:rsid w:val="008C192A"/>
    <w:rsid w:val="008C1C53"/>
    <w:rsid w:val="008C2DA7"/>
    <w:rsid w:val="008C5A69"/>
    <w:rsid w:val="008C7383"/>
    <w:rsid w:val="008D0CAE"/>
    <w:rsid w:val="008D41E0"/>
    <w:rsid w:val="008D5606"/>
    <w:rsid w:val="008E0124"/>
    <w:rsid w:val="008E2FB5"/>
    <w:rsid w:val="008F3F23"/>
    <w:rsid w:val="00906BCB"/>
    <w:rsid w:val="00914B91"/>
    <w:rsid w:val="009234A0"/>
    <w:rsid w:val="009259BB"/>
    <w:rsid w:val="00926C2F"/>
    <w:rsid w:val="009308EA"/>
    <w:rsid w:val="00932E93"/>
    <w:rsid w:val="00933110"/>
    <w:rsid w:val="00933882"/>
    <w:rsid w:val="00934611"/>
    <w:rsid w:val="00941B02"/>
    <w:rsid w:val="00944841"/>
    <w:rsid w:val="00944B35"/>
    <w:rsid w:val="00951BCD"/>
    <w:rsid w:val="009549E7"/>
    <w:rsid w:val="00965292"/>
    <w:rsid w:val="009771B8"/>
    <w:rsid w:val="00977887"/>
    <w:rsid w:val="00984017"/>
    <w:rsid w:val="00984256"/>
    <w:rsid w:val="009846AA"/>
    <w:rsid w:val="00984852"/>
    <w:rsid w:val="009878B0"/>
    <w:rsid w:val="00990537"/>
    <w:rsid w:val="00990D92"/>
    <w:rsid w:val="00997EB1"/>
    <w:rsid w:val="009A128D"/>
    <w:rsid w:val="009A4B67"/>
    <w:rsid w:val="009B046C"/>
    <w:rsid w:val="009B3D07"/>
    <w:rsid w:val="009B5EE6"/>
    <w:rsid w:val="009B5FFA"/>
    <w:rsid w:val="009B7118"/>
    <w:rsid w:val="009D3DD6"/>
    <w:rsid w:val="009D724F"/>
    <w:rsid w:val="009E37CF"/>
    <w:rsid w:val="009E6B08"/>
    <w:rsid w:val="009E71B8"/>
    <w:rsid w:val="009E78F9"/>
    <w:rsid w:val="009F49B2"/>
    <w:rsid w:val="00A02E76"/>
    <w:rsid w:val="00A03854"/>
    <w:rsid w:val="00A0429D"/>
    <w:rsid w:val="00A061FA"/>
    <w:rsid w:val="00A067ED"/>
    <w:rsid w:val="00A11419"/>
    <w:rsid w:val="00A117C5"/>
    <w:rsid w:val="00A125B8"/>
    <w:rsid w:val="00A12A80"/>
    <w:rsid w:val="00A2340B"/>
    <w:rsid w:val="00A25675"/>
    <w:rsid w:val="00A32506"/>
    <w:rsid w:val="00A33611"/>
    <w:rsid w:val="00A37B7D"/>
    <w:rsid w:val="00A41F6E"/>
    <w:rsid w:val="00A46B9D"/>
    <w:rsid w:val="00A500CD"/>
    <w:rsid w:val="00A50C09"/>
    <w:rsid w:val="00A53EFB"/>
    <w:rsid w:val="00A60EA6"/>
    <w:rsid w:val="00A6144F"/>
    <w:rsid w:val="00A6288B"/>
    <w:rsid w:val="00A64F34"/>
    <w:rsid w:val="00A67CCB"/>
    <w:rsid w:val="00A76854"/>
    <w:rsid w:val="00A82A92"/>
    <w:rsid w:val="00A84557"/>
    <w:rsid w:val="00A845AC"/>
    <w:rsid w:val="00A852F5"/>
    <w:rsid w:val="00A868B2"/>
    <w:rsid w:val="00A871A6"/>
    <w:rsid w:val="00A92F44"/>
    <w:rsid w:val="00A940BB"/>
    <w:rsid w:val="00AA0C18"/>
    <w:rsid w:val="00AA5AB1"/>
    <w:rsid w:val="00AA5EC8"/>
    <w:rsid w:val="00AA7B72"/>
    <w:rsid w:val="00AB2864"/>
    <w:rsid w:val="00AB2A1B"/>
    <w:rsid w:val="00AB389A"/>
    <w:rsid w:val="00AC15D6"/>
    <w:rsid w:val="00AC47A5"/>
    <w:rsid w:val="00AD018C"/>
    <w:rsid w:val="00AD10DD"/>
    <w:rsid w:val="00AD309D"/>
    <w:rsid w:val="00AF1208"/>
    <w:rsid w:val="00AF1FBD"/>
    <w:rsid w:val="00AF7102"/>
    <w:rsid w:val="00B02278"/>
    <w:rsid w:val="00B05541"/>
    <w:rsid w:val="00B07BFD"/>
    <w:rsid w:val="00B11502"/>
    <w:rsid w:val="00B118DD"/>
    <w:rsid w:val="00B22188"/>
    <w:rsid w:val="00B23509"/>
    <w:rsid w:val="00B23C52"/>
    <w:rsid w:val="00B25CF0"/>
    <w:rsid w:val="00B31756"/>
    <w:rsid w:val="00B31958"/>
    <w:rsid w:val="00B3785E"/>
    <w:rsid w:val="00B37D96"/>
    <w:rsid w:val="00B41CF6"/>
    <w:rsid w:val="00B479B1"/>
    <w:rsid w:val="00B508D9"/>
    <w:rsid w:val="00B5193A"/>
    <w:rsid w:val="00B629CD"/>
    <w:rsid w:val="00B64838"/>
    <w:rsid w:val="00B66D7C"/>
    <w:rsid w:val="00B70D9D"/>
    <w:rsid w:val="00B72331"/>
    <w:rsid w:val="00B728E6"/>
    <w:rsid w:val="00B83E33"/>
    <w:rsid w:val="00B9096E"/>
    <w:rsid w:val="00B90C1B"/>
    <w:rsid w:val="00B97B2A"/>
    <w:rsid w:val="00BA417F"/>
    <w:rsid w:val="00BA4595"/>
    <w:rsid w:val="00BA6451"/>
    <w:rsid w:val="00BA64DC"/>
    <w:rsid w:val="00BA6886"/>
    <w:rsid w:val="00BA7E79"/>
    <w:rsid w:val="00BB3622"/>
    <w:rsid w:val="00BB36A0"/>
    <w:rsid w:val="00BB4408"/>
    <w:rsid w:val="00BC1817"/>
    <w:rsid w:val="00BC395F"/>
    <w:rsid w:val="00BC54DE"/>
    <w:rsid w:val="00BC5685"/>
    <w:rsid w:val="00BC5EFB"/>
    <w:rsid w:val="00BD10C2"/>
    <w:rsid w:val="00BE303A"/>
    <w:rsid w:val="00BE7023"/>
    <w:rsid w:val="00BF226C"/>
    <w:rsid w:val="00BF5FD5"/>
    <w:rsid w:val="00C00132"/>
    <w:rsid w:val="00C00C45"/>
    <w:rsid w:val="00C01627"/>
    <w:rsid w:val="00C0432E"/>
    <w:rsid w:val="00C06D68"/>
    <w:rsid w:val="00C11D61"/>
    <w:rsid w:val="00C12E8E"/>
    <w:rsid w:val="00C14B35"/>
    <w:rsid w:val="00C162D9"/>
    <w:rsid w:val="00C2380E"/>
    <w:rsid w:val="00C32EDA"/>
    <w:rsid w:val="00C37C59"/>
    <w:rsid w:val="00C41C1C"/>
    <w:rsid w:val="00C425E9"/>
    <w:rsid w:val="00C42C96"/>
    <w:rsid w:val="00C42CE2"/>
    <w:rsid w:val="00C447BD"/>
    <w:rsid w:val="00C56CF9"/>
    <w:rsid w:val="00C71E41"/>
    <w:rsid w:val="00C71FDA"/>
    <w:rsid w:val="00C7224C"/>
    <w:rsid w:val="00C7680D"/>
    <w:rsid w:val="00C76869"/>
    <w:rsid w:val="00C80EA4"/>
    <w:rsid w:val="00C82451"/>
    <w:rsid w:val="00C82598"/>
    <w:rsid w:val="00C96A40"/>
    <w:rsid w:val="00CB0A2F"/>
    <w:rsid w:val="00CB3083"/>
    <w:rsid w:val="00CB6836"/>
    <w:rsid w:val="00CB68E1"/>
    <w:rsid w:val="00CB7D0E"/>
    <w:rsid w:val="00CB7E05"/>
    <w:rsid w:val="00CC22B5"/>
    <w:rsid w:val="00CC6011"/>
    <w:rsid w:val="00CC670C"/>
    <w:rsid w:val="00CE03B9"/>
    <w:rsid w:val="00CE0889"/>
    <w:rsid w:val="00CE5992"/>
    <w:rsid w:val="00CF0D41"/>
    <w:rsid w:val="00CF7AB0"/>
    <w:rsid w:val="00D00274"/>
    <w:rsid w:val="00D02773"/>
    <w:rsid w:val="00D0696A"/>
    <w:rsid w:val="00D138E7"/>
    <w:rsid w:val="00D15D65"/>
    <w:rsid w:val="00D26EC2"/>
    <w:rsid w:val="00D30851"/>
    <w:rsid w:val="00D35EDB"/>
    <w:rsid w:val="00D36127"/>
    <w:rsid w:val="00D37BF7"/>
    <w:rsid w:val="00D407FD"/>
    <w:rsid w:val="00D44E80"/>
    <w:rsid w:val="00D454EE"/>
    <w:rsid w:val="00D458E1"/>
    <w:rsid w:val="00D462D4"/>
    <w:rsid w:val="00D4774C"/>
    <w:rsid w:val="00D523A4"/>
    <w:rsid w:val="00D53A67"/>
    <w:rsid w:val="00D54111"/>
    <w:rsid w:val="00D54287"/>
    <w:rsid w:val="00D64A9E"/>
    <w:rsid w:val="00D64DC5"/>
    <w:rsid w:val="00D6570D"/>
    <w:rsid w:val="00D66AE5"/>
    <w:rsid w:val="00D70EB7"/>
    <w:rsid w:val="00D743EF"/>
    <w:rsid w:val="00D75CCD"/>
    <w:rsid w:val="00D90296"/>
    <w:rsid w:val="00D9264C"/>
    <w:rsid w:val="00D94318"/>
    <w:rsid w:val="00D947C3"/>
    <w:rsid w:val="00D96BD7"/>
    <w:rsid w:val="00D96D73"/>
    <w:rsid w:val="00DA288B"/>
    <w:rsid w:val="00DB5C5F"/>
    <w:rsid w:val="00DB611C"/>
    <w:rsid w:val="00DC0022"/>
    <w:rsid w:val="00DC1756"/>
    <w:rsid w:val="00DC6860"/>
    <w:rsid w:val="00DD2C74"/>
    <w:rsid w:val="00DD4790"/>
    <w:rsid w:val="00DE1A68"/>
    <w:rsid w:val="00DE3587"/>
    <w:rsid w:val="00DE5CF7"/>
    <w:rsid w:val="00DF220B"/>
    <w:rsid w:val="00DF32AA"/>
    <w:rsid w:val="00DF580B"/>
    <w:rsid w:val="00E05F3A"/>
    <w:rsid w:val="00E06F9D"/>
    <w:rsid w:val="00E10CE0"/>
    <w:rsid w:val="00E23258"/>
    <w:rsid w:val="00E23600"/>
    <w:rsid w:val="00E26303"/>
    <w:rsid w:val="00E27E8D"/>
    <w:rsid w:val="00E3632C"/>
    <w:rsid w:val="00E363E3"/>
    <w:rsid w:val="00E4354B"/>
    <w:rsid w:val="00E54C5C"/>
    <w:rsid w:val="00E63831"/>
    <w:rsid w:val="00E638F2"/>
    <w:rsid w:val="00E646AB"/>
    <w:rsid w:val="00E6600E"/>
    <w:rsid w:val="00E71079"/>
    <w:rsid w:val="00E76184"/>
    <w:rsid w:val="00E77EB7"/>
    <w:rsid w:val="00E81F9A"/>
    <w:rsid w:val="00E9497D"/>
    <w:rsid w:val="00E961E7"/>
    <w:rsid w:val="00E97021"/>
    <w:rsid w:val="00EA262B"/>
    <w:rsid w:val="00EB2668"/>
    <w:rsid w:val="00EB5E4C"/>
    <w:rsid w:val="00EC3728"/>
    <w:rsid w:val="00EC4B61"/>
    <w:rsid w:val="00EC53F8"/>
    <w:rsid w:val="00ED0423"/>
    <w:rsid w:val="00ED2B6D"/>
    <w:rsid w:val="00ED58BD"/>
    <w:rsid w:val="00EE2E5C"/>
    <w:rsid w:val="00EE3461"/>
    <w:rsid w:val="00EE7E5E"/>
    <w:rsid w:val="00EF023D"/>
    <w:rsid w:val="00EF53BC"/>
    <w:rsid w:val="00EF6A1B"/>
    <w:rsid w:val="00F1119D"/>
    <w:rsid w:val="00F11C3E"/>
    <w:rsid w:val="00F12DC6"/>
    <w:rsid w:val="00F14E31"/>
    <w:rsid w:val="00F210B5"/>
    <w:rsid w:val="00F24633"/>
    <w:rsid w:val="00F24EB3"/>
    <w:rsid w:val="00F258C7"/>
    <w:rsid w:val="00F26120"/>
    <w:rsid w:val="00F3008B"/>
    <w:rsid w:val="00F34EDF"/>
    <w:rsid w:val="00F35107"/>
    <w:rsid w:val="00F3796B"/>
    <w:rsid w:val="00F40B3C"/>
    <w:rsid w:val="00F45FE4"/>
    <w:rsid w:val="00F46F99"/>
    <w:rsid w:val="00F47879"/>
    <w:rsid w:val="00F5265E"/>
    <w:rsid w:val="00F55948"/>
    <w:rsid w:val="00F605DA"/>
    <w:rsid w:val="00F62B7B"/>
    <w:rsid w:val="00F62DE8"/>
    <w:rsid w:val="00F66CF6"/>
    <w:rsid w:val="00F73511"/>
    <w:rsid w:val="00F773A3"/>
    <w:rsid w:val="00F8429C"/>
    <w:rsid w:val="00F86119"/>
    <w:rsid w:val="00F90FC5"/>
    <w:rsid w:val="00F945F8"/>
    <w:rsid w:val="00F97CD0"/>
    <w:rsid w:val="00FA7B0D"/>
    <w:rsid w:val="00FA7C47"/>
    <w:rsid w:val="00FB2E79"/>
    <w:rsid w:val="00FB6651"/>
    <w:rsid w:val="00FB6EF4"/>
    <w:rsid w:val="00FC0B5F"/>
    <w:rsid w:val="00FC445C"/>
    <w:rsid w:val="00FD3B69"/>
    <w:rsid w:val="00FD6DFC"/>
    <w:rsid w:val="00FE16FA"/>
    <w:rsid w:val="00FE1F03"/>
    <w:rsid w:val="00FE7D78"/>
    <w:rsid w:val="00FF0F20"/>
    <w:rsid w:val="00FF3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BB76A"/>
  <w15:docId w15:val="{F5AC1DF0-F9EA-4E0C-8C29-005F9E8E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6F5"/>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99"/>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next w:val="PoliciesText2"/>
    <w:qFormat/>
    <w:rsid w:val="007423BF"/>
    <w:pPr>
      <w:keepNext/>
      <w:numPr>
        <w:numId w:val="2"/>
      </w:numPr>
      <w:spacing w:before="480"/>
      <w:contextualSpacing w:val="0"/>
    </w:pPr>
    <w:rPr>
      <w:b/>
      <w:caps/>
    </w:rPr>
  </w:style>
  <w:style w:type="paragraph" w:customStyle="1" w:styleId="PoliciesText2">
    <w:name w:val="Policies Text 2"/>
    <w:basedOn w:val="PoliciesHeading1"/>
    <w:qFormat/>
    <w:rsid w:val="00874E97"/>
    <w:pPr>
      <w:keepNext w:val="0"/>
      <w:numPr>
        <w:ilvl w:val="1"/>
      </w:numPr>
      <w:spacing w:before="200"/>
    </w:pPr>
    <w:rPr>
      <w:b w:val="0"/>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Text4">
    <w:name w:val="Policies Text 4"/>
    <w:basedOn w:val="PoliciesHeading3"/>
    <w:next w:val="Normal"/>
    <w:qFormat/>
    <w:rsid w:val="00874E97"/>
    <w:pPr>
      <w:numPr>
        <w:ilvl w:val="3"/>
      </w:numPr>
    </w:pPr>
  </w:style>
  <w:style w:type="paragraph" w:customStyle="1" w:styleId="PoliciesHeading3">
    <w:name w:val="Policies Heading 3"/>
    <w:next w:val="Normal"/>
    <w:qFormat/>
    <w:rsid w:val="007E5683"/>
    <w:pPr>
      <w:numPr>
        <w:ilvl w:val="2"/>
        <w:numId w:val="2"/>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semiHidden/>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5C6865"/>
    <w:pPr>
      <w:tabs>
        <w:tab w:val="right" w:leader="dot" w:pos="9060"/>
      </w:tabs>
      <w:spacing w:after="100"/>
      <w:ind w:left="567" w:hanging="567"/>
    </w:pPr>
  </w:style>
  <w:style w:type="paragraph" w:styleId="TOC2">
    <w:name w:val="toc 2"/>
    <w:basedOn w:val="Normal"/>
    <w:next w:val="Normal"/>
    <w:autoRedefine/>
    <w:uiPriority w:val="39"/>
    <w:unhideWhenUsed/>
    <w:rsid w:val="00F258C7"/>
    <w:pPr>
      <w:tabs>
        <w:tab w:val="left" w:pos="1134"/>
        <w:tab w:val="right" w:leader="dot" w:pos="9060"/>
      </w:tabs>
      <w:spacing w:after="100"/>
    </w:pPr>
  </w:style>
  <w:style w:type="character" w:styleId="Hyperlink">
    <w:name w:val="Hyperlink"/>
    <w:basedOn w:val="DefaultParagraphFont"/>
    <w:uiPriority w:val="99"/>
    <w:unhideWhenUsed/>
    <w:rsid w:val="00BF5FD5"/>
    <w:rPr>
      <w:color w:val="0000FF" w:themeColor="hyperlink"/>
      <w:u w:val="single"/>
    </w:rPr>
  </w:style>
  <w:style w:type="paragraph" w:customStyle="1" w:styleId="Delete">
    <w:name w:val="Delete"/>
    <w:qFormat/>
    <w:rsid w:val="00605793"/>
    <w:pPr>
      <w:spacing w:before="200" w:after="0" w:line="280" w:lineRule="atLeast"/>
      <w:jc w:val="both"/>
      <w:outlineLvl w:val="0"/>
    </w:pPr>
    <w:rPr>
      <w:rFonts w:ascii="Arial" w:hAnsi="Arial"/>
    </w:rPr>
  </w:style>
  <w:style w:type="paragraph" w:customStyle="1" w:styleId="Delete2">
    <w:name w:val="Delete 2"/>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5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basedOn w:val="DefaultParagraphFont"/>
    <w:link w:val="BodyText"/>
    <w:uiPriority w:val="1"/>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semiHidden/>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rsid w:val="00DE1A68"/>
    <w:rPr>
      <w:sz w:val="16"/>
      <w:szCs w:val="16"/>
    </w:rPr>
  </w:style>
  <w:style w:type="paragraph" w:styleId="CommentText">
    <w:name w:val="annotation text"/>
    <w:basedOn w:val="Normal"/>
    <w:link w:val="CommentTextChar"/>
    <w:uiPriority w:val="99"/>
    <w:semiHidden/>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semiHidden/>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numbering" w:customStyle="1" w:styleId="PolicyHeading11">
    <w:name w:val="Policy Heading 11"/>
    <w:uiPriority w:val="99"/>
    <w:rsid w:val="00FF0F20"/>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883EC1"/>
    <w:pPr>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883EC1"/>
    <w:pPr>
      <w:numPr>
        <w:ilvl w:val="2"/>
      </w:numPr>
    </w:pPr>
    <w:rPr>
      <w:u w:val="single"/>
    </w:rPr>
  </w:style>
  <w:style w:type="paragraph" w:customStyle="1" w:styleId="ExtraParagraph4">
    <w:name w:val="Extra Paragraph 4"/>
    <w:basedOn w:val="ExtraHeading3"/>
    <w:qFormat/>
    <w:rsid w:val="00883EC1"/>
    <w:pPr>
      <w:numPr>
        <w:ilvl w:val="3"/>
      </w:numPr>
    </w:pPr>
    <w:rPr>
      <w:u w:val="none"/>
    </w:rPr>
  </w:style>
  <w:style w:type="paragraph" w:customStyle="1" w:styleId="ExtraParagraph3">
    <w:name w:val="Extra Paragraph 3"/>
    <w:basedOn w:val="ExtraHeading3"/>
    <w:qFormat/>
    <w:rsid w:val="00E06F9D"/>
    <w:rPr>
      <w:u w:val="none"/>
    </w:rPr>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semiHidden/>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paragraph" w:customStyle="1" w:styleId="PoliciesHeading2">
    <w:name w:val="Policies Heading 2"/>
    <w:basedOn w:val="PoliciesText2"/>
    <w:next w:val="PoliciesText2"/>
    <w:qFormat/>
    <w:rsid w:val="00D36127"/>
    <w:pPr>
      <w:keepNext/>
    </w:pPr>
    <w:rPr>
      <w:b/>
    </w:rPr>
  </w:style>
  <w:style w:type="paragraph" w:customStyle="1" w:styleId="PoliciesText3">
    <w:name w:val="Policies Text 3"/>
    <w:basedOn w:val="PoliciesHeading3"/>
    <w:qFormat/>
    <w:rsid w:val="00D36127"/>
  </w:style>
  <w:style w:type="paragraph" w:customStyle="1" w:styleId="DefinitionHeading">
    <w:name w:val="Definition Heading"/>
    <w:basedOn w:val="Normal"/>
    <w:next w:val="DefinitionText"/>
    <w:qFormat/>
    <w:rsid w:val="000C607F"/>
    <w:pPr>
      <w:keepNext/>
      <w:ind w:left="567"/>
    </w:pPr>
    <w:rPr>
      <w:rFonts w:ascii="Arial Bold" w:hAnsi="Arial Bold" w:cs="Arial"/>
      <w:b/>
    </w:rPr>
  </w:style>
  <w:style w:type="paragraph" w:customStyle="1" w:styleId="DefinitionText">
    <w:name w:val="Definition Text"/>
    <w:basedOn w:val="DefinitionHeading"/>
    <w:qFormat/>
    <w:rsid w:val="000C607F"/>
    <w:pPr>
      <w:keepNext w:val="0"/>
      <w:ind w:left="1701"/>
    </w:pPr>
    <w:rPr>
      <w:rFonts w:ascii="Arial" w:hAnsi="Arial"/>
      <w:b w:val="0"/>
    </w:rPr>
  </w:style>
  <w:style w:type="character" w:styleId="UnresolvedMention">
    <w:name w:val="Unresolved Mention"/>
    <w:basedOn w:val="DefaultParagraphFont"/>
    <w:uiPriority w:val="99"/>
    <w:semiHidden/>
    <w:unhideWhenUsed/>
    <w:rsid w:val="008254CC"/>
    <w:rPr>
      <w:color w:val="605E5C"/>
      <w:shd w:val="clear" w:color="auto" w:fill="E1DFDD"/>
    </w:rPr>
  </w:style>
  <w:style w:type="character" w:styleId="FollowedHyperlink">
    <w:name w:val="FollowedHyperlink"/>
    <w:basedOn w:val="DefaultParagraphFont"/>
    <w:uiPriority w:val="99"/>
    <w:semiHidden/>
    <w:unhideWhenUsed/>
    <w:rsid w:val="00822578"/>
    <w:rPr>
      <w:color w:val="800080" w:themeColor="followedHyperlink"/>
      <w:u w:val="single"/>
    </w:rPr>
  </w:style>
  <w:style w:type="paragraph" w:customStyle="1" w:styleId="PoliciesHeading4">
    <w:name w:val="Policies Heading 4"/>
    <w:next w:val="Normal"/>
    <w:qFormat/>
    <w:rsid w:val="001769DF"/>
    <w:pPr>
      <w:spacing w:before="200" w:after="0" w:line="280" w:lineRule="atLeast"/>
      <w:ind w:left="1134" w:hanging="1134"/>
      <w:jc w:val="both"/>
    </w:pPr>
    <w:rPr>
      <w:rFonts w:ascii="Arial" w:hAnsi="Arial"/>
    </w:rPr>
  </w:style>
  <w:style w:type="paragraph" w:styleId="Revision">
    <w:name w:val="Revision"/>
    <w:hidden/>
    <w:uiPriority w:val="99"/>
    <w:semiHidden/>
    <w:rsid w:val="00513BA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8065">
      <w:bodyDiv w:val="1"/>
      <w:marLeft w:val="0"/>
      <w:marRight w:val="0"/>
      <w:marTop w:val="0"/>
      <w:marBottom w:val="0"/>
      <w:divBdr>
        <w:top w:val="none" w:sz="0" w:space="0" w:color="auto"/>
        <w:left w:val="none" w:sz="0" w:space="0" w:color="auto"/>
        <w:bottom w:val="none" w:sz="0" w:space="0" w:color="auto"/>
        <w:right w:val="none" w:sz="0" w:space="0" w:color="auto"/>
      </w:divBdr>
    </w:div>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751320732">
      <w:bodyDiv w:val="1"/>
      <w:marLeft w:val="0"/>
      <w:marRight w:val="0"/>
      <w:marTop w:val="0"/>
      <w:marBottom w:val="0"/>
      <w:divBdr>
        <w:top w:val="none" w:sz="0" w:space="0" w:color="auto"/>
        <w:left w:val="none" w:sz="0" w:space="0" w:color="auto"/>
        <w:bottom w:val="none" w:sz="0" w:space="0" w:color="auto"/>
        <w:right w:val="none" w:sz="0" w:space="0" w:color="auto"/>
      </w:divBdr>
    </w:div>
    <w:div w:id="974749238">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394309984">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564372257">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rbyshiremedicinesmanagement.nhs.uk/assets/Clinical-Policies/Goverance_Policies/IFR%20policy%20extented%20review%20April%202023.pdf" TargetMode="External"/><Relationship Id="rId18" Type="http://schemas.openxmlformats.org/officeDocument/2006/relationships/hyperlink" Target="http://www.derbyshiremedicinesmanagement.nhs.uk/assets/Clinical-Policies/Goverance_Policies/IFR%20policy%20extented%20review%20April%202023.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erbyshiremedicinesmanagement.nhs.uk/assets/Clinical-Policies/Goverance_Policies/IFR%20policy%20extented%20review%20April%202023.pdf" TargetMode="External"/><Relationship Id="rId17" Type="http://schemas.openxmlformats.org/officeDocument/2006/relationships/hyperlink" Target="file:///C:\Users\Helen.moss\AppData\Local\Microsoft\Windows\INetCache\Content.Outlook\8O63VNB9\Ethical%20guidance%20for%20publication_8-2-21_0.pdf" TargetMode="External"/><Relationship Id="rId2" Type="http://schemas.openxmlformats.org/officeDocument/2006/relationships/customXml" Target="../customXml/item1.xml"/><Relationship Id="rId16" Type="http://schemas.openxmlformats.org/officeDocument/2006/relationships/hyperlink" Target="https://www.portsmouthccg.nhs.uk/publications-and-key-documents/ethical-framework-for-decision-making"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fundingrequests.cscsu.nhs.uk/wp-content/uploads/2015/08/Ethical-Framework-March-2016-final.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england.nhs.uk/wp-content/uploads/2013/04/cp-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41A2-35E0-48AC-AD3D-8B3FAD17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3282</Words>
  <Characters>18709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Palmer Frances (03Y) NHS Hardwick CCG</dc:creator>
  <cp:lastModifiedBy>PALMER, Frances (NHS DERBY AND DERBYSHIRE ICB - 15M)</cp:lastModifiedBy>
  <cp:revision>4</cp:revision>
  <cp:lastPrinted>2022-09-22T15:46:00Z</cp:lastPrinted>
  <dcterms:created xsi:type="dcterms:W3CDTF">2023-04-05T12:36:00Z</dcterms:created>
  <dcterms:modified xsi:type="dcterms:W3CDTF">2023-04-14T13:04:00Z</dcterms:modified>
</cp:coreProperties>
</file>