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213F" w14:textId="055ED950" w:rsidR="00B13129" w:rsidRPr="000C0E19" w:rsidRDefault="00B13129" w:rsidP="00B13129">
      <w:pPr>
        <w:rPr>
          <w:rFonts w:ascii="Arial" w:hAnsi="Arial" w:cs="Arial"/>
          <w:b/>
          <w:bCs/>
          <w:sz w:val="24"/>
          <w:szCs w:val="24"/>
          <w:u w:val="single"/>
        </w:rPr>
      </w:pPr>
      <w:r w:rsidRPr="000C0E19">
        <w:rPr>
          <w:rFonts w:ascii="Arial" w:hAnsi="Arial" w:cs="Arial"/>
          <w:b/>
          <w:bCs/>
          <w:sz w:val="24"/>
          <w:szCs w:val="24"/>
          <w:u w:val="single"/>
        </w:rPr>
        <w:t xml:space="preserve">NHSE Assurance Process </w:t>
      </w:r>
    </w:p>
    <w:p w14:paraId="7F1F4600" w14:textId="77777777" w:rsidR="00B13129" w:rsidRPr="000C0E19" w:rsidRDefault="00B13129" w:rsidP="00A44616">
      <w:pPr>
        <w:shd w:val="clear" w:color="auto" w:fill="E8E8E8" w:themeFill="background2"/>
        <w:rPr>
          <w:rFonts w:ascii="Arial" w:hAnsi="Arial" w:cs="Arial"/>
          <w:b/>
          <w:bCs/>
        </w:rPr>
      </w:pPr>
      <w:r w:rsidRPr="000C0E19">
        <w:rPr>
          <w:rFonts w:ascii="Arial" w:hAnsi="Arial" w:cs="Arial"/>
          <w:b/>
          <w:bCs/>
        </w:rPr>
        <w:t>What is the NHSE Assurance Process?</w:t>
      </w:r>
    </w:p>
    <w:p w14:paraId="6DCD5F37" w14:textId="77777777" w:rsidR="00B13129" w:rsidRPr="000C0E19" w:rsidRDefault="00B13129" w:rsidP="00B13129">
      <w:pPr>
        <w:rPr>
          <w:rFonts w:ascii="Arial" w:hAnsi="Arial" w:cs="Arial"/>
        </w:rPr>
      </w:pPr>
      <w:r w:rsidRPr="000C0E19">
        <w:rPr>
          <w:rFonts w:ascii="Arial" w:hAnsi="Arial" w:cs="Arial"/>
        </w:rPr>
        <w:t>The NHSE Assurance Process supports commissioners to follow best practice when planning significant service changes or transformations. It ensures proposals are:</w:t>
      </w:r>
    </w:p>
    <w:p w14:paraId="7ACAAC80" w14:textId="0378EC3C" w:rsidR="00B13129" w:rsidRPr="000C0E19" w:rsidRDefault="00B13129" w:rsidP="00B13129">
      <w:pPr>
        <w:pStyle w:val="ListParagraph"/>
        <w:numPr>
          <w:ilvl w:val="0"/>
          <w:numId w:val="10"/>
        </w:numPr>
        <w:rPr>
          <w:rFonts w:ascii="Arial" w:hAnsi="Arial" w:cs="Arial"/>
        </w:rPr>
      </w:pPr>
      <w:r w:rsidRPr="000C0E19">
        <w:rPr>
          <w:rFonts w:ascii="Arial" w:hAnsi="Arial" w:cs="Arial"/>
        </w:rPr>
        <w:t>Legally robust and strong</w:t>
      </w:r>
    </w:p>
    <w:p w14:paraId="4C489D84" w14:textId="77777777" w:rsidR="00B13129" w:rsidRPr="000C0E19" w:rsidRDefault="00B13129" w:rsidP="00B13129">
      <w:pPr>
        <w:pStyle w:val="ListParagraph"/>
        <w:numPr>
          <w:ilvl w:val="0"/>
          <w:numId w:val="10"/>
        </w:numPr>
        <w:rPr>
          <w:rFonts w:ascii="Arial" w:hAnsi="Arial" w:cs="Arial"/>
        </w:rPr>
      </w:pPr>
      <w:r w:rsidRPr="000C0E19">
        <w:rPr>
          <w:rFonts w:ascii="Arial" w:hAnsi="Arial" w:cs="Arial"/>
        </w:rPr>
        <w:t>Clinically sound and financially feasible</w:t>
      </w:r>
    </w:p>
    <w:p w14:paraId="18CFA3E7" w14:textId="77777777" w:rsidR="00B13129" w:rsidRPr="000C0E19" w:rsidRDefault="00B13129" w:rsidP="00B13129">
      <w:pPr>
        <w:pStyle w:val="ListParagraph"/>
        <w:numPr>
          <w:ilvl w:val="0"/>
          <w:numId w:val="10"/>
        </w:numPr>
        <w:rPr>
          <w:rFonts w:ascii="Arial" w:hAnsi="Arial" w:cs="Arial"/>
        </w:rPr>
      </w:pPr>
      <w:r w:rsidRPr="000C0E19">
        <w:rPr>
          <w:rFonts w:ascii="Arial" w:hAnsi="Arial" w:cs="Arial"/>
        </w:rPr>
        <w:t>Informed by meaningful public, patient, and staff engagement</w:t>
      </w:r>
    </w:p>
    <w:p w14:paraId="70CF8B50" w14:textId="510B633B" w:rsidR="00B13129" w:rsidRPr="000C0E19" w:rsidRDefault="00B13129" w:rsidP="00B13129">
      <w:pPr>
        <w:pStyle w:val="ListParagraph"/>
        <w:numPr>
          <w:ilvl w:val="0"/>
          <w:numId w:val="10"/>
        </w:numPr>
        <w:rPr>
          <w:rFonts w:ascii="Arial" w:hAnsi="Arial" w:cs="Arial"/>
        </w:rPr>
      </w:pPr>
      <w:r w:rsidRPr="000C0E19">
        <w:rPr>
          <w:rFonts w:ascii="Arial" w:hAnsi="Arial" w:cs="Arial"/>
        </w:rPr>
        <w:t>In line with national policy and guidance.</w:t>
      </w:r>
    </w:p>
    <w:p w14:paraId="65207751" w14:textId="5BD7FBDB" w:rsidR="00B13129" w:rsidRPr="000C0E19" w:rsidRDefault="00B13129" w:rsidP="00B13129">
      <w:pPr>
        <w:rPr>
          <w:rFonts w:ascii="Arial" w:hAnsi="Arial" w:cs="Arial"/>
        </w:rPr>
      </w:pPr>
      <w:r w:rsidRPr="000C0E19">
        <w:rPr>
          <w:rFonts w:ascii="Arial" w:hAnsi="Arial" w:cs="Arial"/>
        </w:rPr>
        <w:t>Proposals may be subject to legal challenge (e.g. judicial review or referral to the Secretary of State), so the assurance helps to minimise risks and delays.</w:t>
      </w:r>
    </w:p>
    <w:p w14:paraId="298E56FD" w14:textId="77777777" w:rsidR="00B13129" w:rsidRPr="000C0E19" w:rsidRDefault="00B13129" w:rsidP="00B13129">
      <w:pPr>
        <w:rPr>
          <w:rFonts w:ascii="Arial" w:hAnsi="Arial" w:cs="Arial"/>
        </w:rPr>
      </w:pPr>
      <w:r w:rsidRPr="000C0E19">
        <w:rPr>
          <w:rFonts w:ascii="Arial" w:hAnsi="Arial" w:cs="Arial"/>
        </w:rPr>
        <w:t>To be approved, proposals must meet:</w:t>
      </w:r>
    </w:p>
    <w:p w14:paraId="54ABE55A" w14:textId="181D3347" w:rsidR="00B13129" w:rsidRPr="000C0E19" w:rsidRDefault="00B13129" w:rsidP="00B13129">
      <w:pPr>
        <w:pStyle w:val="ListParagraph"/>
        <w:numPr>
          <w:ilvl w:val="0"/>
          <w:numId w:val="11"/>
        </w:numPr>
        <w:rPr>
          <w:rFonts w:ascii="Arial" w:hAnsi="Arial" w:cs="Arial"/>
        </w:rPr>
      </w:pPr>
      <w:hyperlink r:id="rId7" w:history="1">
        <w:r w:rsidRPr="000C0E19">
          <w:rPr>
            <w:rStyle w:val="Hyperlink"/>
            <w:rFonts w:ascii="Arial" w:hAnsi="Arial" w:cs="Arial"/>
          </w:rPr>
          <w:t>The government’s four tests</w:t>
        </w:r>
      </w:hyperlink>
    </w:p>
    <w:p w14:paraId="618A856F" w14:textId="458A7684" w:rsidR="00B13129" w:rsidRPr="000C0E19" w:rsidRDefault="00B13129" w:rsidP="00B13129">
      <w:pPr>
        <w:pStyle w:val="ListParagraph"/>
        <w:numPr>
          <w:ilvl w:val="0"/>
          <w:numId w:val="11"/>
        </w:numPr>
        <w:rPr>
          <w:rFonts w:ascii="Arial" w:hAnsi="Arial" w:cs="Arial"/>
        </w:rPr>
      </w:pPr>
      <w:hyperlink r:id="rId8" w:history="1">
        <w:r w:rsidRPr="000C0E19">
          <w:rPr>
            <w:rStyle w:val="Hyperlink"/>
            <w:rFonts w:ascii="Arial" w:hAnsi="Arial" w:cs="Arial"/>
          </w:rPr>
          <w:t>NHSE’s bed closure test (if applicable)</w:t>
        </w:r>
      </w:hyperlink>
    </w:p>
    <w:p w14:paraId="1A2DE811" w14:textId="478045E2" w:rsidR="00B13129" w:rsidRPr="000C0E19" w:rsidRDefault="00B13129" w:rsidP="00B13129">
      <w:pPr>
        <w:pStyle w:val="ListParagraph"/>
        <w:numPr>
          <w:ilvl w:val="0"/>
          <w:numId w:val="11"/>
        </w:numPr>
        <w:rPr>
          <w:rFonts w:ascii="Arial" w:hAnsi="Arial" w:cs="Arial"/>
        </w:rPr>
      </w:pPr>
      <w:hyperlink r:id="rId9" w:history="1">
        <w:r w:rsidRPr="000C0E19">
          <w:rPr>
            <w:rStyle w:val="Hyperlink"/>
            <w:rFonts w:ascii="Arial" w:hAnsi="Arial" w:cs="Arial"/>
          </w:rPr>
          <w:t xml:space="preserve">Legal duties (e.g. equality and </w:t>
        </w:r>
        <w:r w:rsidR="00230B3F" w:rsidRPr="000C0E19">
          <w:rPr>
            <w:rStyle w:val="Hyperlink"/>
            <w:rFonts w:ascii="Arial" w:hAnsi="Arial" w:cs="Arial"/>
          </w:rPr>
          <w:t>patient and public involvement</w:t>
        </w:r>
        <w:r w:rsidRPr="000C0E19">
          <w:rPr>
            <w:rStyle w:val="Hyperlink"/>
            <w:rFonts w:ascii="Arial" w:hAnsi="Arial" w:cs="Arial"/>
          </w:rPr>
          <w:t>)</w:t>
        </w:r>
      </w:hyperlink>
    </w:p>
    <w:p w14:paraId="6E2C8780" w14:textId="06BD0EAC" w:rsidR="00B13129" w:rsidRPr="000C0E19" w:rsidRDefault="00B13129" w:rsidP="00B13129">
      <w:pPr>
        <w:pStyle w:val="ListParagraph"/>
        <w:numPr>
          <w:ilvl w:val="0"/>
          <w:numId w:val="11"/>
        </w:numPr>
        <w:rPr>
          <w:rFonts w:ascii="Arial" w:hAnsi="Arial" w:cs="Arial"/>
        </w:rPr>
      </w:pPr>
      <w:hyperlink r:id="rId10" w:history="1">
        <w:r w:rsidRPr="000C0E19">
          <w:rPr>
            <w:rStyle w:val="Hyperlink"/>
            <w:rFonts w:ascii="Arial" w:hAnsi="Arial" w:cs="Arial"/>
          </w:rPr>
          <w:t>Best practice standards</w:t>
        </w:r>
      </w:hyperlink>
    </w:p>
    <w:p w14:paraId="3D572399" w14:textId="77777777" w:rsidR="00B13129" w:rsidRPr="000C0E19" w:rsidRDefault="00B13129" w:rsidP="00A44616">
      <w:pPr>
        <w:shd w:val="clear" w:color="auto" w:fill="E8E8E8" w:themeFill="background2"/>
        <w:rPr>
          <w:rFonts w:ascii="Arial" w:hAnsi="Arial" w:cs="Arial"/>
          <w:b/>
          <w:bCs/>
        </w:rPr>
      </w:pPr>
      <w:r w:rsidRPr="000C0E19">
        <w:rPr>
          <w:rFonts w:ascii="Arial" w:hAnsi="Arial" w:cs="Arial"/>
          <w:b/>
          <w:bCs/>
        </w:rPr>
        <w:t>Why Is It Needed?</w:t>
      </w:r>
    </w:p>
    <w:p w14:paraId="52FD8636" w14:textId="77777777" w:rsidR="00B13129" w:rsidRPr="000C0E19" w:rsidRDefault="00B13129" w:rsidP="00B13129">
      <w:pPr>
        <w:rPr>
          <w:rFonts w:ascii="Arial" w:hAnsi="Arial" w:cs="Arial"/>
        </w:rPr>
      </w:pPr>
      <w:r w:rsidRPr="000C0E19">
        <w:rPr>
          <w:rFonts w:ascii="Arial" w:hAnsi="Arial" w:cs="Arial"/>
        </w:rPr>
        <w:t>NHSE assurance gives confidence that service change proposals are safe, sustainable, and supported by local people. It adds oversight and governance, especially for complex or contentious changes.</w:t>
      </w:r>
    </w:p>
    <w:p w14:paraId="6CE2BC60" w14:textId="0093CEC4" w:rsidR="00525755" w:rsidRPr="000C0E19" w:rsidRDefault="00525755" w:rsidP="00A44616">
      <w:pPr>
        <w:shd w:val="clear" w:color="auto" w:fill="E8E8E8" w:themeFill="background2"/>
        <w:rPr>
          <w:rFonts w:ascii="Arial" w:hAnsi="Arial" w:cs="Arial"/>
          <w:b/>
          <w:bCs/>
        </w:rPr>
      </w:pPr>
      <w:r w:rsidRPr="000C0E19">
        <w:rPr>
          <w:rFonts w:ascii="Arial" w:hAnsi="Arial" w:cs="Arial"/>
          <w:b/>
          <w:bCs/>
        </w:rPr>
        <w:t>NHSE Assurance Process Stages</w:t>
      </w:r>
      <w:r w:rsidR="00230B3F" w:rsidRPr="000C0E19">
        <w:rPr>
          <w:rFonts w:ascii="Arial" w:hAnsi="Arial" w:cs="Arial"/>
          <w:b/>
          <w:bCs/>
        </w:rPr>
        <w:t>:</w:t>
      </w:r>
    </w:p>
    <w:p w14:paraId="785F21DD" w14:textId="30411C54" w:rsidR="00525755" w:rsidRPr="000C0E19" w:rsidRDefault="00525755" w:rsidP="00525755">
      <w:pPr>
        <w:pStyle w:val="ListParagraph"/>
        <w:numPr>
          <w:ilvl w:val="0"/>
          <w:numId w:val="17"/>
        </w:numPr>
        <w:rPr>
          <w:rFonts w:ascii="Arial" w:hAnsi="Arial" w:cs="Arial"/>
          <w:b/>
          <w:bCs/>
        </w:rPr>
      </w:pPr>
      <w:r w:rsidRPr="000C0E19">
        <w:rPr>
          <w:rFonts w:ascii="Arial" w:hAnsi="Arial" w:cs="Arial"/>
          <w:b/>
          <w:bCs/>
        </w:rPr>
        <w:t>Stage 1: Strategic Sense Check</w:t>
      </w:r>
      <w:r w:rsidR="00D576C1" w:rsidRPr="000C0E19">
        <w:rPr>
          <w:rFonts w:ascii="Arial" w:hAnsi="Arial" w:cs="Arial"/>
          <w:b/>
          <w:bCs/>
        </w:rPr>
        <w:t xml:space="preserve"> </w:t>
      </w:r>
      <w:r w:rsidR="00D576C1" w:rsidRPr="000C0E19">
        <w:rPr>
          <w:rFonts w:ascii="Arial" w:hAnsi="Arial" w:cs="Arial"/>
        </w:rPr>
        <w:t>(before the pre-engagement)</w:t>
      </w:r>
    </w:p>
    <w:p w14:paraId="42032982" w14:textId="77777777" w:rsidR="00525755" w:rsidRPr="000C0E19" w:rsidRDefault="00525755" w:rsidP="00525755">
      <w:pPr>
        <w:rPr>
          <w:rFonts w:ascii="Arial" w:hAnsi="Arial" w:cs="Arial"/>
        </w:rPr>
      </w:pPr>
      <w:r w:rsidRPr="000C0E19">
        <w:rPr>
          <w:rFonts w:ascii="Arial" w:hAnsi="Arial" w:cs="Arial"/>
        </w:rPr>
        <w:t>This is an early informal checkpoint where NHSE reviews the high-level case for change and initial thinking. The aim is to:</w:t>
      </w:r>
    </w:p>
    <w:p w14:paraId="0E5C36EC" w14:textId="77777777" w:rsidR="00525755" w:rsidRPr="000C0E19" w:rsidRDefault="00525755" w:rsidP="00525755">
      <w:pPr>
        <w:pStyle w:val="ListParagraph"/>
        <w:numPr>
          <w:ilvl w:val="0"/>
          <w:numId w:val="20"/>
        </w:numPr>
        <w:rPr>
          <w:rFonts w:ascii="Arial" w:hAnsi="Arial" w:cs="Arial"/>
        </w:rPr>
      </w:pPr>
      <w:r w:rsidRPr="000C0E19">
        <w:rPr>
          <w:rFonts w:ascii="Arial" w:hAnsi="Arial" w:cs="Arial"/>
        </w:rPr>
        <w:t>Understand the scale and scope of the proposed change</w:t>
      </w:r>
    </w:p>
    <w:p w14:paraId="02B3B549" w14:textId="77777777" w:rsidR="00525755" w:rsidRPr="000C0E19" w:rsidRDefault="00525755" w:rsidP="00525755">
      <w:pPr>
        <w:pStyle w:val="ListParagraph"/>
        <w:numPr>
          <w:ilvl w:val="0"/>
          <w:numId w:val="20"/>
        </w:numPr>
        <w:rPr>
          <w:rFonts w:ascii="Arial" w:hAnsi="Arial" w:cs="Arial"/>
        </w:rPr>
      </w:pPr>
      <w:r w:rsidRPr="000C0E19">
        <w:rPr>
          <w:rFonts w:ascii="Arial" w:hAnsi="Arial" w:cs="Arial"/>
        </w:rPr>
        <w:t>Confirm that early engagement and planning are happening appropriately</w:t>
      </w:r>
    </w:p>
    <w:p w14:paraId="433E51D0" w14:textId="77777777" w:rsidR="00525755" w:rsidRPr="000C0E19" w:rsidRDefault="00525755" w:rsidP="00525755">
      <w:pPr>
        <w:pStyle w:val="ListParagraph"/>
        <w:numPr>
          <w:ilvl w:val="0"/>
          <w:numId w:val="20"/>
        </w:numPr>
        <w:rPr>
          <w:rFonts w:ascii="Arial" w:hAnsi="Arial" w:cs="Arial"/>
        </w:rPr>
      </w:pPr>
      <w:r w:rsidRPr="000C0E19">
        <w:rPr>
          <w:rFonts w:ascii="Arial" w:hAnsi="Arial" w:cs="Arial"/>
        </w:rPr>
        <w:t>Identify any potential risks or barriers early</w:t>
      </w:r>
    </w:p>
    <w:p w14:paraId="48D57D6B" w14:textId="416FE126" w:rsidR="00525755" w:rsidRPr="000C0E19" w:rsidRDefault="00525755" w:rsidP="00525755">
      <w:pPr>
        <w:pStyle w:val="ListParagraph"/>
        <w:numPr>
          <w:ilvl w:val="0"/>
          <w:numId w:val="20"/>
        </w:numPr>
        <w:rPr>
          <w:rFonts w:ascii="Arial" w:hAnsi="Arial" w:cs="Arial"/>
        </w:rPr>
      </w:pPr>
      <w:r w:rsidRPr="000C0E19">
        <w:rPr>
          <w:rFonts w:ascii="Arial" w:hAnsi="Arial" w:cs="Arial"/>
        </w:rPr>
        <w:t>Advise on next steps, including formal assurance requirements</w:t>
      </w:r>
      <w:r w:rsidR="00230B3F" w:rsidRPr="000C0E19">
        <w:rPr>
          <w:rFonts w:ascii="Arial" w:hAnsi="Arial" w:cs="Arial"/>
        </w:rPr>
        <w:t>.</w:t>
      </w:r>
    </w:p>
    <w:p w14:paraId="41394F15" w14:textId="0DEAA103" w:rsidR="00525755" w:rsidRPr="000C0E19" w:rsidRDefault="00525755" w:rsidP="00525755">
      <w:pPr>
        <w:rPr>
          <w:rFonts w:ascii="Arial" w:hAnsi="Arial" w:cs="Arial"/>
        </w:rPr>
      </w:pPr>
      <w:r w:rsidRPr="000C0E19">
        <w:rPr>
          <w:rFonts w:ascii="Arial" w:hAnsi="Arial" w:cs="Arial"/>
        </w:rPr>
        <w:t>What may be requested at this stage?</w:t>
      </w:r>
    </w:p>
    <w:p w14:paraId="4E9BB0F8" w14:textId="77777777" w:rsidR="00525755" w:rsidRPr="000C0E19" w:rsidRDefault="00525755" w:rsidP="00525755">
      <w:pPr>
        <w:pStyle w:val="ListParagraph"/>
        <w:numPr>
          <w:ilvl w:val="0"/>
          <w:numId w:val="21"/>
        </w:numPr>
        <w:rPr>
          <w:rFonts w:ascii="Arial" w:hAnsi="Arial" w:cs="Arial"/>
        </w:rPr>
      </w:pPr>
      <w:r w:rsidRPr="000C0E19">
        <w:rPr>
          <w:rFonts w:ascii="Arial" w:hAnsi="Arial" w:cs="Arial"/>
        </w:rPr>
        <w:t>Outline or draft of the case for change</w:t>
      </w:r>
    </w:p>
    <w:p w14:paraId="45E0F9DA" w14:textId="77777777" w:rsidR="00525755" w:rsidRPr="000C0E19" w:rsidRDefault="00525755" w:rsidP="00525755">
      <w:pPr>
        <w:pStyle w:val="ListParagraph"/>
        <w:numPr>
          <w:ilvl w:val="0"/>
          <w:numId w:val="21"/>
        </w:numPr>
        <w:rPr>
          <w:rFonts w:ascii="Arial" w:hAnsi="Arial" w:cs="Arial"/>
        </w:rPr>
      </w:pPr>
      <w:r w:rsidRPr="000C0E19">
        <w:rPr>
          <w:rFonts w:ascii="Arial" w:hAnsi="Arial" w:cs="Arial"/>
        </w:rPr>
        <w:t>Initial engagement approach</w:t>
      </w:r>
    </w:p>
    <w:p w14:paraId="62DDFF47" w14:textId="77777777" w:rsidR="00525755" w:rsidRPr="000C0E19" w:rsidRDefault="00525755" w:rsidP="00525755">
      <w:pPr>
        <w:pStyle w:val="ListParagraph"/>
        <w:numPr>
          <w:ilvl w:val="0"/>
          <w:numId w:val="21"/>
        </w:numPr>
        <w:rPr>
          <w:rFonts w:ascii="Arial" w:hAnsi="Arial" w:cs="Arial"/>
        </w:rPr>
      </w:pPr>
      <w:r w:rsidRPr="000C0E19">
        <w:rPr>
          <w:rFonts w:ascii="Arial" w:hAnsi="Arial" w:cs="Arial"/>
        </w:rPr>
        <w:t>High-level timeline and governance plans</w:t>
      </w:r>
    </w:p>
    <w:p w14:paraId="799733E3" w14:textId="77777777" w:rsidR="00525755" w:rsidRPr="000C0E19" w:rsidRDefault="00525755" w:rsidP="00525755">
      <w:pPr>
        <w:pStyle w:val="ListParagraph"/>
        <w:numPr>
          <w:ilvl w:val="0"/>
          <w:numId w:val="21"/>
        </w:numPr>
        <w:rPr>
          <w:rFonts w:ascii="Arial" w:hAnsi="Arial" w:cs="Arial"/>
        </w:rPr>
      </w:pPr>
      <w:r w:rsidRPr="000C0E19">
        <w:rPr>
          <w:rFonts w:ascii="Arial" w:hAnsi="Arial" w:cs="Arial"/>
        </w:rPr>
        <w:t>Early consideration of equality and health inequalities</w:t>
      </w:r>
    </w:p>
    <w:p w14:paraId="434604E0" w14:textId="77777777" w:rsidR="00525755" w:rsidRPr="000C0E19" w:rsidRDefault="00525755" w:rsidP="00525755">
      <w:pPr>
        <w:pStyle w:val="ListParagraph"/>
        <w:rPr>
          <w:rFonts w:ascii="Arial" w:hAnsi="Arial" w:cs="Arial"/>
        </w:rPr>
      </w:pPr>
    </w:p>
    <w:p w14:paraId="156B71E1" w14:textId="573D8404" w:rsidR="00525755" w:rsidRPr="000C0E19" w:rsidRDefault="00525755" w:rsidP="00525755">
      <w:pPr>
        <w:pStyle w:val="ListParagraph"/>
        <w:numPr>
          <w:ilvl w:val="0"/>
          <w:numId w:val="17"/>
        </w:numPr>
        <w:rPr>
          <w:rFonts w:ascii="Arial" w:hAnsi="Arial" w:cs="Arial"/>
        </w:rPr>
      </w:pPr>
      <w:r w:rsidRPr="000C0E19">
        <w:rPr>
          <w:rFonts w:ascii="Arial" w:hAnsi="Arial" w:cs="Arial"/>
          <w:b/>
          <w:bCs/>
        </w:rPr>
        <w:t>Stage 2: Formal Assurance Gateway</w:t>
      </w:r>
      <w:r w:rsidR="00D576C1" w:rsidRPr="000C0E19">
        <w:rPr>
          <w:rFonts w:ascii="Arial" w:hAnsi="Arial" w:cs="Arial"/>
          <w:b/>
          <w:bCs/>
        </w:rPr>
        <w:t xml:space="preserve"> </w:t>
      </w:r>
      <w:r w:rsidR="00D576C1" w:rsidRPr="000C0E19">
        <w:rPr>
          <w:rFonts w:ascii="Arial" w:hAnsi="Arial" w:cs="Arial"/>
        </w:rPr>
        <w:t>(after the pre-engagement and before further engagement/consultation)</w:t>
      </w:r>
    </w:p>
    <w:p w14:paraId="1F453D2C" w14:textId="77777777" w:rsidR="00525755" w:rsidRPr="000C0E19" w:rsidRDefault="00525755" w:rsidP="00542125">
      <w:pPr>
        <w:rPr>
          <w:rFonts w:ascii="Arial" w:hAnsi="Arial" w:cs="Arial"/>
        </w:rPr>
      </w:pPr>
      <w:r w:rsidRPr="000C0E19">
        <w:rPr>
          <w:rFonts w:ascii="Arial" w:hAnsi="Arial" w:cs="Arial"/>
        </w:rPr>
        <w:t>This is a more detailed review of your fully developed service change proposal before it progresses to public consultation or implementation.</w:t>
      </w:r>
    </w:p>
    <w:p w14:paraId="3E487EBA" w14:textId="77777777" w:rsidR="00525755" w:rsidRPr="000C0E19" w:rsidRDefault="00525755" w:rsidP="00542125">
      <w:pPr>
        <w:rPr>
          <w:rFonts w:ascii="Arial" w:hAnsi="Arial" w:cs="Arial"/>
        </w:rPr>
      </w:pPr>
      <w:r w:rsidRPr="000C0E19">
        <w:rPr>
          <w:rFonts w:ascii="Arial" w:hAnsi="Arial" w:cs="Arial"/>
        </w:rPr>
        <w:t>NHSE will expect:</w:t>
      </w:r>
    </w:p>
    <w:p w14:paraId="7E3272D1" w14:textId="77777777" w:rsidR="00525755" w:rsidRPr="000C0E19" w:rsidRDefault="00525755" w:rsidP="00542125">
      <w:pPr>
        <w:pStyle w:val="ListParagraph"/>
        <w:numPr>
          <w:ilvl w:val="0"/>
          <w:numId w:val="23"/>
        </w:numPr>
        <w:rPr>
          <w:rFonts w:ascii="Arial" w:hAnsi="Arial" w:cs="Arial"/>
        </w:rPr>
      </w:pPr>
      <w:r w:rsidRPr="000C0E19">
        <w:rPr>
          <w:rFonts w:ascii="Arial" w:hAnsi="Arial" w:cs="Arial"/>
        </w:rPr>
        <w:t>A clear, evidence-based Case for Change</w:t>
      </w:r>
    </w:p>
    <w:p w14:paraId="706BC68A" w14:textId="77777777" w:rsidR="00525755" w:rsidRPr="000C0E19" w:rsidRDefault="00525755" w:rsidP="00542125">
      <w:pPr>
        <w:pStyle w:val="ListParagraph"/>
        <w:numPr>
          <w:ilvl w:val="0"/>
          <w:numId w:val="23"/>
        </w:numPr>
        <w:rPr>
          <w:rFonts w:ascii="Arial" w:hAnsi="Arial" w:cs="Arial"/>
        </w:rPr>
      </w:pPr>
      <w:r w:rsidRPr="000C0E19">
        <w:rPr>
          <w:rFonts w:ascii="Arial" w:hAnsi="Arial" w:cs="Arial"/>
        </w:rPr>
        <w:t>Completed Equality and Health Inequality Impact Assessments (EHIAs)</w:t>
      </w:r>
    </w:p>
    <w:p w14:paraId="71AC9DD5" w14:textId="77777777" w:rsidR="00525755" w:rsidRPr="000C0E19" w:rsidRDefault="00525755" w:rsidP="00542125">
      <w:pPr>
        <w:pStyle w:val="ListParagraph"/>
        <w:numPr>
          <w:ilvl w:val="0"/>
          <w:numId w:val="23"/>
        </w:numPr>
        <w:rPr>
          <w:rFonts w:ascii="Arial" w:hAnsi="Arial" w:cs="Arial"/>
        </w:rPr>
      </w:pPr>
      <w:r w:rsidRPr="000C0E19">
        <w:rPr>
          <w:rFonts w:ascii="Arial" w:hAnsi="Arial" w:cs="Arial"/>
        </w:rPr>
        <w:lastRenderedPageBreak/>
        <w:t>A strong engagement and communications plan</w:t>
      </w:r>
    </w:p>
    <w:p w14:paraId="062FDE68" w14:textId="77777777" w:rsidR="00525755" w:rsidRPr="000C0E19" w:rsidRDefault="00525755" w:rsidP="00542125">
      <w:pPr>
        <w:pStyle w:val="ListParagraph"/>
        <w:numPr>
          <w:ilvl w:val="0"/>
          <w:numId w:val="23"/>
        </w:numPr>
        <w:rPr>
          <w:rFonts w:ascii="Arial" w:hAnsi="Arial" w:cs="Arial"/>
        </w:rPr>
      </w:pPr>
      <w:r w:rsidRPr="000C0E19">
        <w:rPr>
          <w:rFonts w:ascii="Arial" w:hAnsi="Arial" w:cs="Arial"/>
        </w:rPr>
        <w:t>Proof that proposals meet the Four Tests (and bed closure test, if relevant)</w:t>
      </w:r>
    </w:p>
    <w:p w14:paraId="3A3ED4F8" w14:textId="77777777" w:rsidR="00542125" w:rsidRPr="000C0E19" w:rsidRDefault="00525755" w:rsidP="00542125">
      <w:pPr>
        <w:pStyle w:val="ListParagraph"/>
        <w:numPr>
          <w:ilvl w:val="0"/>
          <w:numId w:val="23"/>
        </w:numPr>
        <w:rPr>
          <w:rFonts w:ascii="Arial" w:hAnsi="Arial" w:cs="Arial"/>
        </w:rPr>
      </w:pPr>
      <w:r w:rsidRPr="000C0E19">
        <w:rPr>
          <w:rFonts w:ascii="Arial" w:hAnsi="Arial" w:cs="Arial"/>
        </w:rPr>
        <w:t>Financial modelling and clinical assurance</w:t>
      </w:r>
    </w:p>
    <w:p w14:paraId="7BD10718" w14:textId="1733D353" w:rsidR="00525755" w:rsidRPr="000C0E19" w:rsidRDefault="00525755" w:rsidP="00542125">
      <w:pPr>
        <w:rPr>
          <w:rFonts w:ascii="Arial" w:hAnsi="Arial" w:cs="Arial"/>
        </w:rPr>
      </w:pPr>
      <w:r w:rsidRPr="000C0E19">
        <w:rPr>
          <w:rFonts w:ascii="Arial" w:hAnsi="Arial" w:cs="Arial"/>
        </w:rPr>
        <w:t>This stage may result in feedback, conditions for progression, or approval to proceed.</w:t>
      </w:r>
    </w:p>
    <w:p w14:paraId="73843F9F" w14:textId="0E1F1159" w:rsidR="00230B3F" w:rsidRPr="000C0E19" w:rsidRDefault="00230B3F" w:rsidP="00A44616">
      <w:pPr>
        <w:shd w:val="clear" w:color="auto" w:fill="E8E8E8" w:themeFill="background2"/>
        <w:rPr>
          <w:rFonts w:ascii="Arial" w:hAnsi="Arial" w:cs="Arial"/>
          <w:b/>
          <w:bCs/>
        </w:rPr>
      </w:pPr>
      <w:r w:rsidRPr="000C0E19">
        <w:rPr>
          <w:rFonts w:ascii="Arial" w:hAnsi="Arial" w:cs="Arial"/>
          <w:b/>
          <w:bCs/>
        </w:rPr>
        <w:t>Additional NHSE Assurance Review Stages:</w:t>
      </w:r>
    </w:p>
    <w:p w14:paraId="58B55E0F" w14:textId="77777777" w:rsidR="00542125" w:rsidRPr="000C0E19" w:rsidRDefault="00542125" w:rsidP="00542125">
      <w:pPr>
        <w:rPr>
          <w:rFonts w:ascii="Arial" w:hAnsi="Arial" w:cs="Arial"/>
        </w:rPr>
      </w:pPr>
      <w:r w:rsidRPr="000C0E19">
        <w:rPr>
          <w:rFonts w:ascii="Arial" w:hAnsi="Arial" w:cs="Arial"/>
        </w:rPr>
        <w:t>There may be additional stages depending on the complexity and risk level of the proposal(s) these may include:</w:t>
      </w:r>
    </w:p>
    <w:p w14:paraId="07C0F974" w14:textId="2548C213" w:rsidR="00525755" w:rsidRPr="000C0E19" w:rsidRDefault="00542125" w:rsidP="00542125">
      <w:pPr>
        <w:pStyle w:val="ListParagraph"/>
        <w:numPr>
          <w:ilvl w:val="0"/>
          <w:numId w:val="17"/>
        </w:numPr>
        <w:rPr>
          <w:rFonts w:ascii="Arial" w:hAnsi="Arial" w:cs="Arial"/>
          <w:b/>
          <w:bCs/>
        </w:rPr>
      </w:pPr>
      <w:r w:rsidRPr="000C0E19">
        <w:rPr>
          <w:rFonts w:ascii="Arial" w:hAnsi="Arial" w:cs="Arial"/>
          <w:b/>
          <w:bCs/>
        </w:rPr>
        <w:t xml:space="preserve">Post-Stage 2: Approval to Consult: </w:t>
      </w:r>
      <w:r w:rsidRPr="000C0E19">
        <w:rPr>
          <w:rFonts w:ascii="Arial" w:hAnsi="Arial" w:cs="Arial"/>
        </w:rPr>
        <w:t>If NHSE is satisfied with the proposal(s) at Stage 2, they may issue a formal letter of support or approval to proceed to public consultation (if required)</w:t>
      </w:r>
    </w:p>
    <w:p w14:paraId="7BDA9246" w14:textId="4F3E12B6" w:rsidR="00542125" w:rsidRPr="000C0E19" w:rsidRDefault="00542125" w:rsidP="00542125">
      <w:pPr>
        <w:pStyle w:val="ListParagraph"/>
        <w:numPr>
          <w:ilvl w:val="0"/>
          <w:numId w:val="17"/>
        </w:numPr>
        <w:rPr>
          <w:rFonts w:ascii="Arial" w:hAnsi="Arial" w:cs="Arial"/>
          <w:b/>
          <w:bCs/>
        </w:rPr>
      </w:pPr>
      <w:r w:rsidRPr="000C0E19">
        <w:rPr>
          <w:rFonts w:ascii="Arial" w:hAnsi="Arial" w:cs="Arial"/>
          <w:b/>
          <w:bCs/>
        </w:rPr>
        <w:t xml:space="preserve">Post-Consultation Review: </w:t>
      </w:r>
      <w:r w:rsidRPr="000C0E19">
        <w:rPr>
          <w:rFonts w:ascii="Arial" w:hAnsi="Arial" w:cs="Arial"/>
        </w:rPr>
        <w:t xml:space="preserve">Once the consultation is complete, NHSE may ask for the Consultation Report and it will be important to demonstrate how the feedback has informed the final decision. </w:t>
      </w:r>
    </w:p>
    <w:p w14:paraId="657EF805" w14:textId="4615EAE6" w:rsidR="00542125" w:rsidRPr="000C0E19" w:rsidRDefault="00542125" w:rsidP="00542125">
      <w:pPr>
        <w:pStyle w:val="ListParagraph"/>
        <w:numPr>
          <w:ilvl w:val="0"/>
          <w:numId w:val="17"/>
        </w:numPr>
        <w:rPr>
          <w:rFonts w:ascii="Arial" w:hAnsi="Arial" w:cs="Arial"/>
          <w:b/>
          <w:bCs/>
        </w:rPr>
      </w:pPr>
      <w:r w:rsidRPr="000C0E19">
        <w:rPr>
          <w:rFonts w:ascii="Arial" w:hAnsi="Arial" w:cs="Arial"/>
          <w:b/>
          <w:bCs/>
        </w:rPr>
        <w:t xml:space="preserve">Implementation Phase Monitoring: </w:t>
      </w:r>
      <w:r w:rsidRPr="000C0E19">
        <w:rPr>
          <w:rFonts w:ascii="Arial" w:hAnsi="Arial" w:cs="Arial"/>
        </w:rPr>
        <w:t xml:space="preserve">NHSE may require further assurance before approving implementation, especially if significant changes were made based on feedback. NHSE may require progress updates, monitoring and evaluation plans and evidence of ongoing engagement. </w:t>
      </w:r>
    </w:p>
    <w:p w14:paraId="6312B974" w14:textId="77777777" w:rsidR="00B13129" w:rsidRPr="000C0E19" w:rsidRDefault="00B13129" w:rsidP="00A44616">
      <w:pPr>
        <w:shd w:val="clear" w:color="auto" w:fill="E8E8E8" w:themeFill="background2"/>
        <w:rPr>
          <w:rFonts w:ascii="Arial" w:hAnsi="Arial" w:cs="Arial"/>
          <w:b/>
          <w:bCs/>
        </w:rPr>
      </w:pPr>
      <w:r w:rsidRPr="000C0E19">
        <w:rPr>
          <w:rFonts w:ascii="Arial" w:hAnsi="Arial" w:cs="Arial"/>
          <w:b/>
          <w:bCs/>
        </w:rPr>
        <w:t>When Should You Contact NHSE?</w:t>
      </w:r>
    </w:p>
    <w:p w14:paraId="6061904C" w14:textId="0CCDBC82" w:rsidR="00B13129" w:rsidRPr="000C0E19" w:rsidRDefault="00B13129" w:rsidP="00B13129">
      <w:pPr>
        <w:rPr>
          <w:rFonts w:ascii="Arial" w:hAnsi="Arial" w:cs="Arial"/>
        </w:rPr>
      </w:pPr>
      <w:r w:rsidRPr="000C0E19">
        <w:rPr>
          <w:rFonts w:ascii="Arial" w:hAnsi="Arial" w:cs="Arial"/>
          <w:b/>
          <w:bCs/>
        </w:rPr>
        <w:t>Early contact is essential:</w:t>
      </w:r>
      <w:r w:rsidRPr="000C0E19">
        <w:rPr>
          <w:rFonts w:ascii="Arial" w:hAnsi="Arial" w:cs="Arial"/>
        </w:rPr>
        <w:t xml:space="preserve"> The level of assurance required depends on the scale and impact of the proposed change. Seeking early advice will help shape your planning and engagement from the outset.</w:t>
      </w:r>
    </w:p>
    <w:p w14:paraId="33FD773F" w14:textId="5969150A" w:rsidR="00B13129" w:rsidRPr="000C0E19" w:rsidRDefault="00B13129" w:rsidP="00B13129">
      <w:pPr>
        <w:rPr>
          <w:rFonts w:ascii="Arial" w:hAnsi="Arial" w:cs="Arial"/>
          <w:b/>
          <w:bCs/>
        </w:rPr>
      </w:pPr>
      <w:r w:rsidRPr="000C0E19">
        <w:rPr>
          <w:rFonts w:ascii="Arial" w:hAnsi="Arial" w:cs="Arial"/>
          <w:b/>
          <w:bCs/>
        </w:rPr>
        <w:t xml:space="preserve">Who to Contact: </w:t>
      </w:r>
      <w:r w:rsidRPr="000C0E19">
        <w:rPr>
          <w:rFonts w:ascii="Arial" w:hAnsi="Arial" w:cs="Arial"/>
        </w:rPr>
        <w:t>For assurance queries in Derby and Derbyshire, contact:</w:t>
      </w:r>
    </w:p>
    <w:p w14:paraId="1DD47D43" w14:textId="31289C9D" w:rsidR="00B13129" w:rsidRPr="000C0E19" w:rsidRDefault="00B13129" w:rsidP="00B13129">
      <w:pPr>
        <w:pStyle w:val="ListParagraph"/>
        <w:numPr>
          <w:ilvl w:val="0"/>
          <w:numId w:val="12"/>
        </w:numPr>
        <w:rPr>
          <w:rFonts w:ascii="Arial" w:hAnsi="Arial" w:cs="Arial"/>
        </w:rPr>
      </w:pPr>
      <w:r w:rsidRPr="000C0E19">
        <w:rPr>
          <w:rFonts w:ascii="Arial" w:hAnsi="Arial" w:cs="Arial"/>
          <w:b/>
          <w:bCs/>
        </w:rPr>
        <w:t>Mark Tunstall</w:t>
      </w:r>
      <w:r w:rsidRPr="000C0E19">
        <w:rPr>
          <w:rFonts w:ascii="Arial" w:hAnsi="Arial" w:cs="Arial"/>
        </w:rPr>
        <w:t xml:space="preserve">: Regional Reconfiguration Lead (Midlands) </w:t>
      </w:r>
      <w:hyperlink r:id="rId11" w:history="1">
        <w:r w:rsidRPr="000C0E19">
          <w:rPr>
            <w:rStyle w:val="Hyperlink"/>
            <w:rFonts w:ascii="Arial" w:hAnsi="Arial" w:cs="Arial"/>
          </w:rPr>
          <w:t>mark.tunstall@nhs.net</w:t>
        </w:r>
      </w:hyperlink>
      <w:r w:rsidRPr="000C0E19">
        <w:rPr>
          <w:rFonts w:ascii="Arial" w:hAnsi="Arial" w:cs="Arial"/>
        </w:rPr>
        <w:t xml:space="preserve"> </w:t>
      </w:r>
    </w:p>
    <w:p w14:paraId="7BD630DA" w14:textId="57D65AB0" w:rsidR="00B13129" w:rsidRPr="000C0E19" w:rsidRDefault="00B13129" w:rsidP="00B13129">
      <w:pPr>
        <w:pStyle w:val="ListParagraph"/>
        <w:numPr>
          <w:ilvl w:val="0"/>
          <w:numId w:val="12"/>
        </w:numPr>
        <w:rPr>
          <w:rFonts w:ascii="Arial" w:hAnsi="Arial" w:cs="Arial"/>
        </w:rPr>
      </w:pPr>
      <w:r w:rsidRPr="000C0E19">
        <w:rPr>
          <w:rFonts w:ascii="Arial" w:hAnsi="Arial" w:cs="Arial"/>
          <w:b/>
          <w:bCs/>
        </w:rPr>
        <w:t>Fiona Ireson</w:t>
      </w:r>
      <w:r w:rsidRPr="000C0E19">
        <w:rPr>
          <w:rFonts w:ascii="Arial" w:hAnsi="Arial" w:cs="Arial"/>
        </w:rPr>
        <w:t xml:space="preserve">: Senior Communications Manager (Midlands) </w:t>
      </w:r>
      <w:hyperlink r:id="rId12" w:history="1">
        <w:r w:rsidRPr="000C0E19">
          <w:rPr>
            <w:rStyle w:val="Hyperlink"/>
            <w:rFonts w:ascii="Arial" w:hAnsi="Arial" w:cs="Arial"/>
          </w:rPr>
          <w:t>fiona.ireson@nhs.net</w:t>
        </w:r>
      </w:hyperlink>
      <w:r w:rsidRPr="000C0E19">
        <w:rPr>
          <w:rFonts w:ascii="Arial" w:hAnsi="Arial" w:cs="Arial"/>
        </w:rPr>
        <w:t xml:space="preserve"> </w:t>
      </w:r>
    </w:p>
    <w:p w14:paraId="537FF15F" w14:textId="4F4D49A9" w:rsidR="00B13129" w:rsidRPr="000C0E19" w:rsidRDefault="00523DC8" w:rsidP="00B13129">
      <w:pPr>
        <w:pStyle w:val="ListParagraph"/>
        <w:numPr>
          <w:ilvl w:val="0"/>
          <w:numId w:val="12"/>
        </w:numPr>
        <w:rPr>
          <w:rFonts w:ascii="Arial" w:hAnsi="Arial" w:cs="Arial"/>
        </w:rPr>
      </w:pPr>
      <w:r w:rsidRPr="000C0E19">
        <w:rPr>
          <w:rFonts w:ascii="Arial" w:hAnsi="Arial" w:cs="Arial"/>
          <w:b/>
          <w:bCs/>
        </w:rPr>
        <w:t xml:space="preserve">DDICB Engagement Team: </w:t>
      </w:r>
      <w:hyperlink r:id="rId13" w:history="1">
        <w:r w:rsidRPr="000C0E19">
          <w:rPr>
            <w:rStyle w:val="Hyperlink"/>
            <w:rFonts w:ascii="Arial" w:hAnsi="Arial" w:cs="Arial"/>
          </w:rPr>
          <w:t>ddicb.engagement@nhs.net</w:t>
        </w:r>
      </w:hyperlink>
      <w:r w:rsidRPr="000C0E19">
        <w:rPr>
          <w:rFonts w:ascii="Arial" w:hAnsi="Arial" w:cs="Arial"/>
        </w:rPr>
        <w:t xml:space="preserve"> </w:t>
      </w:r>
    </w:p>
    <w:p w14:paraId="6F6BC151" w14:textId="7AB3819A" w:rsidR="00B13129" w:rsidRPr="000C0E19" w:rsidRDefault="00B13129" w:rsidP="00A44616">
      <w:pPr>
        <w:shd w:val="clear" w:color="auto" w:fill="E8E8E8" w:themeFill="background2"/>
        <w:rPr>
          <w:rFonts w:ascii="Arial" w:hAnsi="Arial" w:cs="Arial"/>
        </w:rPr>
      </w:pPr>
      <w:r w:rsidRPr="000C0E19">
        <w:rPr>
          <w:rFonts w:ascii="Arial" w:hAnsi="Arial" w:cs="Arial"/>
          <w:b/>
          <w:bCs/>
        </w:rPr>
        <w:t>What Happens at NHSE Assurance Meetings?</w:t>
      </w:r>
    </w:p>
    <w:p w14:paraId="13E440DB" w14:textId="77777777" w:rsidR="00B13129" w:rsidRPr="000C0E19" w:rsidRDefault="00B13129" w:rsidP="00B13129">
      <w:pPr>
        <w:rPr>
          <w:rFonts w:ascii="Arial" w:hAnsi="Arial" w:cs="Arial"/>
        </w:rPr>
      </w:pPr>
      <w:r w:rsidRPr="000C0E19">
        <w:rPr>
          <w:rFonts w:ascii="Arial" w:hAnsi="Arial" w:cs="Arial"/>
        </w:rPr>
        <w:t>Meetings usually cover:</w:t>
      </w:r>
    </w:p>
    <w:p w14:paraId="3698D1EC" w14:textId="77777777" w:rsidR="00B13129" w:rsidRPr="000C0E19" w:rsidRDefault="00B13129" w:rsidP="00B13129">
      <w:pPr>
        <w:pStyle w:val="ListParagraph"/>
        <w:numPr>
          <w:ilvl w:val="0"/>
          <w:numId w:val="13"/>
        </w:numPr>
        <w:rPr>
          <w:rFonts w:ascii="Arial" w:hAnsi="Arial" w:cs="Arial"/>
        </w:rPr>
      </w:pPr>
      <w:r w:rsidRPr="000C0E19">
        <w:rPr>
          <w:rFonts w:ascii="Arial" w:hAnsi="Arial" w:cs="Arial"/>
        </w:rPr>
        <w:t>Case for change</w:t>
      </w:r>
    </w:p>
    <w:p w14:paraId="1FBA25B3" w14:textId="77777777" w:rsidR="00B13129" w:rsidRPr="000C0E19" w:rsidRDefault="00B13129" w:rsidP="00B13129">
      <w:pPr>
        <w:pStyle w:val="ListParagraph"/>
        <w:numPr>
          <w:ilvl w:val="0"/>
          <w:numId w:val="13"/>
        </w:numPr>
        <w:rPr>
          <w:rFonts w:ascii="Arial" w:hAnsi="Arial" w:cs="Arial"/>
        </w:rPr>
      </w:pPr>
      <w:r w:rsidRPr="000C0E19">
        <w:rPr>
          <w:rFonts w:ascii="Arial" w:hAnsi="Arial" w:cs="Arial"/>
        </w:rPr>
        <w:t>Clinical evidence and impact</w:t>
      </w:r>
    </w:p>
    <w:p w14:paraId="43450B22" w14:textId="77777777" w:rsidR="00B13129" w:rsidRPr="000C0E19" w:rsidRDefault="00B13129" w:rsidP="00B13129">
      <w:pPr>
        <w:pStyle w:val="ListParagraph"/>
        <w:numPr>
          <w:ilvl w:val="0"/>
          <w:numId w:val="13"/>
        </w:numPr>
        <w:rPr>
          <w:rFonts w:ascii="Arial" w:hAnsi="Arial" w:cs="Arial"/>
        </w:rPr>
      </w:pPr>
      <w:r w:rsidRPr="000C0E19">
        <w:rPr>
          <w:rFonts w:ascii="Arial" w:hAnsi="Arial" w:cs="Arial"/>
        </w:rPr>
        <w:t>Engagement approach and findings</w:t>
      </w:r>
    </w:p>
    <w:p w14:paraId="4AC8FFA7" w14:textId="77777777" w:rsidR="00B13129" w:rsidRPr="000C0E19" w:rsidRDefault="00B13129" w:rsidP="00B13129">
      <w:pPr>
        <w:pStyle w:val="ListParagraph"/>
        <w:numPr>
          <w:ilvl w:val="0"/>
          <w:numId w:val="13"/>
        </w:numPr>
        <w:rPr>
          <w:rFonts w:ascii="Arial" w:hAnsi="Arial" w:cs="Arial"/>
        </w:rPr>
      </w:pPr>
      <w:r w:rsidRPr="000C0E19">
        <w:rPr>
          <w:rFonts w:ascii="Arial" w:hAnsi="Arial" w:cs="Arial"/>
        </w:rPr>
        <w:t>Equality and health inequalities impact</w:t>
      </w:r>
    </w:p>
    <w:p w14:paraId="1C047D84" w14:textId="77777777" w:rsidR="00B13129" w:rsidRPr="000C0E19" w:rsidRDefault="00B13129" w:rsidP="00B13129">
      <w:pPr>
        <w:pStyle w:val="ListParagraph"/>
        <w:numPr>
          <w:ilvl w:val="0"/>
          <w:numId w:val="13"/>
        </w:numPr>
        <w:rPr>
          <w:rFonts w:ascii="Arial" w:hAnsi="Arial" w:cs="Arial"/>
        </w:rPr>
      </w:pPr>
      <w:r w:rsidRPr="000C0E19">
        <w:rPr>
          <w:rFonts w:ascii="Arial" w:hAnsi="Arial" w:cs="Arial"/>
        </w:rPr>
        <w:t>Financial implications</w:t>
      </w:r>
    </w:p>
    <w:p w14:paraId="734FEE3E" w14:textId="77777777" w:rsidR="00B13129" w:rsidRPr="000C0E19" w:rsidRDefault="00B13129" w:rsidP="00B13129">
      <w:pPr>
        <w:pStyle w:val="ListParagraph"/>
        <w:numPr>
          <w:ilvl w:val="0"/>
          <w:numId w:val="13"/>
        </w:numPr>
        <w:rPr>
          <w:rFonts w:ascii="Arial" w:hAnsi="Arial" w:cs="Arial"/>
        </w:rPr>
      </w:pPr>
      <w:r w:rsidRPr="000C0E19">
        <w:rPr>
          <w:rFonts w:ascii="Arial" w:hAnsi="Arial" w:cs="Arial"/>
        </w:rPr>
        <w:t>Alignment with national guidance</w:t>
      </w:r>
    </w:p>
    <w:p w14:paraId="208E81A4" w14:textId="7C1D49E1" w:rsidR="00B13129" w:rsidRPr="000C0E19" w:rsidRDefault="00B13129" w:rsidP="00B13129">
      <w:pPr>
        <w:rPr>
          <w:rFonts w:ascii="Arial" w:hAnsi="Arial" w:cs="Arial"/>
        </w:rPr>
      </w:pPr>
      <w:r w:rsidRPr="000C0E19">
        <w:rPr>
          <w:rFonts w:ascii="Arial" w:hAnsi="Arial" w:cs="Arial"/>
        </w:rPr>
        <w:t>You may be asked to submit supporting documentation in advance.</w:t>
      </w:r>
    </w:p>
    <w:p w14:paraId="1FEC8C2F" w14:textId="77777777" w:rsidR="00B13129" w:rsidRPr="000C0E19" w:rsidRDefault="00B13129" w:rsidP="00A44616">
      <w:pPr>
        <w:shd w:val="clear" w:color="auto" w:fill="E8E8E8" w:themeFill="background2"/>
        <w:rPr>
          <w:rFonts w:ascii="Arial" w:hAnsi="Arial" w:cs="Arial"/>
          <w:b/>
          <w:bCs/>
        </w:rPr>
      </w:pPr>
      <w:r w:rsidRPr="000C0E19">
        <w:rPr>
          <w:rFonts w:ascii="Arial" w:hAnsi="Arial" w:cs="Arial"/>
          <w:b/>
          <w:bCs/>
        </w:rPr>
        <w:t>Key Considerations &amp; Top Tips for Navigating NHSE Assurance</w:t>
      </w:r>
    </w:p>
    <w:p w14:paraId="50CAADBB" w14:textId="77777777" w:rsidR="00B13129" w:rsidRPr="000C0E19" w:rsidRDefault="00B13129" w:rsidP="00B13129">
      <w:pPr>
        <w:rPr>
          <w:rFonts w:ascii="Arial" w:hAnsi="Arial" w:cs="Arial"/>
        </w:rPr>
      </w:pPr>
      <w:r w:rsidRPr="000C0E19">
        <w:rPr>
          <w:rFonts w:ascii="Arial" w:hAnsi="Arial" w:cs="Arial"/>
        </w:rPr>
        <w:t>To help you prepare for a smoother NHSE Assurance process, here are some practical tips and things to keep in mind:</w:t>
      </w:r>
    </w:p>
    <w:p w14:paraId="0A77C3CA" w14:textId="77777777" w:rsidR="00B13129" w:rsidRPr="000C0E19" w:rsidRDefault="00B13129" w:rsidP="00B13129">
      <w:pPr>
        <w:numPr>
          <w:ilvl w:val="0"/>
          <w:numId w:val="5"/>
        </w:numPr>
        <w:rPr>
          <w:rFonts w:ascii="Arial" w:hAnsi="Arial" w:cs="Arial"/>
        </w:rPr>
      </w:pPr>
      <w:r w:rsidRPr="000C0E19">
        <w:rPr>
          <w:rFonts w:ascii="Arial" w:hAnsi="Arial" w:cs="Arial"/>
          <w:b/>
          <w:bCs/>
        </w:rPr>
        <w:t>Not all changes require full assurance.</w:t>
      </w:r>
      <w:r w:rsidRPr="000C0E19">
        <w:rPr>
          <w:rFonts w:ascii="Arial" w:hAnsi="Arial" w:cs="Arial"/>
        </w:rPr>
        <w:br/>
        <w:t>The level of scrutiny depends on the scale, complexity, and risk of your proposal. Early contact with NHSE helps clarify what’s required.</w:t>
      </w:r>
    </w:p>
    <w:p w14:paraId="2F9EE298" w14:textId="77777777" w:rsidR="00B13129" w:rsidRPr="000C0E19" w:rsidRDefault="00B13129" w:rsidP="00B13129">
      <w:pPr>
        <w:numPr>
          <w:ilvl w:val="0"/>
          <w:numId w:val="5"/>
        </w:numPr>
        <w:rPr>
          <w:rFonts w:ascii="Arial" w:hAnsi="Arial" w:cs="Arial"/>
        </w:rPr>
      </w:pPr>
      <w:r w:rsidRPr="000C0E19">
        <w:rPr>
          <w:rFonts w:ascii="Arial" w:hAnsi="Arial" w:cs="Arial"/>
          <w:b/>
          <w:bCs/>
        </w:rPr>
        <w:lastRenderedPageBreak/>
        <w:t>Use informal check-ins.</w:t>
      </w:r>
      <w:r w:rsidRPr="000C0E19">
        <w:rPr>
          <w:rFonts w:ascii="Arial" w:hAnsi="Arial" w:cs="Arial"/>
        </w:rPr>
        <w:br/>
        <w:t>The regional team often offers informal discussions before formal assurance. These are great for early feedback and spotting issues ahead of time.</w:t>
      </w:r>
    </w:p>
    <w:p w14:paraId="7D679C42" w14:textId="08C1C457" w:rsidR="00B13129" w:rsidRPr="000C0E19" w:rsidRDefault="00B13129" w:rsidP="00B13129">
      <w:pPr>
        <w:numPr>
          <w:ilvl w:val="0"/>
          <w:numId w:val="5"/>
        </w:numPr>
        <w:rPr>
          <w:rFonts w:ascii="Arial" w:hAnsi="Arial" w:cs="Arial"/>
        </w:rPr>
      </w:pPr>
      <w:r w:rsidRPr="000C0E19">
        <w:rPr>
          <w:rFonts w:ascii="Arial" w:hAnsi="Arial" w:cs="Arial"/>
          <w:b/>
          <w:bCs/>
        </w:rPr>
        <w:t>Document your engagement thoroughly.</w:t>
      </w:r>
      <w:r w:rsidRPr="000C0E19">
        <w:rPr>
          <w:rFonts w:ascii="Arial" w:hAnsi="Arial" w:cs="Arial"/>
        </w:rPr>
        <w:br/>
        <w:t>Keep clear records of who you have engaged with, what was said, and how it influenced your plans. NHSE will expect to see this.</w:t>
      </w:r>
    </w:p>
    <w:p w14:paraId="0AE29547" w14:textId="4013D013" w:rsidR="00B13129" w:rsidRPr="000C0E19" w:rsidRDefault="00B13129" w:rsidP="00B13129">
      <w:pPr>
        <w:numPr>
          <w:ilvl w:val="0"/>
          <w:numId w:val="5"/>
        </w:numPr>
        <w:rPr>
          <w:rFonts w:ascii="Arial" w:hAnsi="Arial" w:cs="Arial"/>
        </w:rPr>
      </w:pPr>
      <w:r w:rsidRPr="000C0E19">
        <w:rPr>
          <w:rFonts w:ascii="Arial" w:hAnsi="Arial" w:cs="Arial"/>
          <w:b/>
          <w:bCs/>
        </w:rPr>
        <w:t>Engage with Health Overview and Scrutiny Committees (HOSCs) early.</w:t>
      </w:r>
      <w:r w:rsidRPr="000C0E19">
        <w:rPr>
          <w:rFonts w:ascii="Arial" w:hAnsi="Arial" w:cs="Arial"/>
        </w:rPr>
        <w:br/>
        <w:t>Keeping them informed and involved reduces risk.</w:t>
      </w:r>
    </w:p>
    <w:p w14:paraId="31857DAA" w14:textId="2FD804AD" w:rsidR="00B13129" w:rsidRPr="000C0E19" w:rsidRDefault="00B13129" w:rsidP="00B13129">
      <w:pPr>
        <w:numPr>
          <w:ilvl w:val="0"/>
          <w:numId w:val="5"/>
        </w:numPr>
        <w:rPr>
          <w:rFonts w:ascii="Arial" w:hAnsi="Arial" w:cs="Arial"/>
        </w:rPr>
      </w:pPr>
      <w:r w:rsidRPr="000C0E19">
        <w:rPr>
          <w:rFonts w:ascii="Arial" w:hAnsi="Arial" w:cs="Arial"/>
          <w:b/>
          <w:bCs/>
        </w:rPr>
        <w:t>Quality and Equality Impact Assessments (QEIAs) must be robust.</w:t>
      </w:r>
      <w:r w:rsidRPr="000C0E19">
        <w:rPr>
          <w:rFonts w:ascii="Arial" w:hAnsi="Arial" w:cs="Arial"/>
        </w:rPr>
        <w:br/>
        <w:t>NHSE looks closely at how changes affect different communities, generic or weak assessments may lead to delays.</w:t>
      </w:r>
    </w:p>
    <w:p w14:paraId="6932B76D" w14:textId="77777777" w:rsidR="00B13129" w:rsidRPr="000C0E19" w:rsidRDefault="00B13129" w:rsidP="00B13129">
      <w:pPr>
        <w:numPr>
          <w:ilvl w:val="0"/>
          <w:numId w:val="5"/>
        </w:numPr>
        <w:rPr>
          <w:rFonts w:ascii="Arial" w:hAnsi="Arial" w:cs="Arial"/>
        </w:rPr>
      </w:pPr>
      <w:r w:rsidRPr="000C0E19">
        <w:rPr>
          <w:rFonts w:ascii="Arial" w:hAnsi="Arial" w:cs="Arial"/>
          <w:b/>
          <w:bCs/>
        </w:rPr>
        <w:t>Include lived experience, not just general feedback.</w:t>
      </w:r>
      <w:r w:rsidRPr="000C0E19">
        <w:rPr>
          <w:rFonts w:ascii="Arial" w:hAnsi="Arial" w:cs="Arial"/>
        </w:rPr>
        <w:br/>
        <w:t>Patient and service user voices carry weight. Direct quotes, case studies, and co-production are powerful.</w:t>
      </w:r>
    </w:p>
    <w:p w14:paraId="59B3B42D" w14:textId="49E6DEAA" w:rsidR="00B13129" w:rsidRPr="000C0E19" w:rsidRDefault="00B13129" w:rsidP="00B13129">
      <w:pPr>
        <w:numPr>
          <w:ilvl w:val="0"/>
          <w:numId w:val="5"/>
        </w:numPr>
        <w:rPr>
          <w:rFonts w:ascii="Arial" w:hAnsi="Arial" w:cs="Arial"/>
        </w:rPr>
      </w:pPr>
      <w:r w:rsidRPr="000C0E19">
        <w:rPr>
          <w:rFonts w:ascii="Arial" w:hAnsi="Arial" w:cs="Arial"/>
          <w:b/>
          <w:bCs/>
        </w:rPr>
        <w:t>Be aware of NHSE’s internal ‘Gateway’ stages</w:t>
      </w:r>
      <w:r w:rsidR="00D576C1" w:rsidRPr="000C0E19">
        <w:rPr>
          <w:rFonts w:ascii="Arial" w:hAnsi="Arial" w:cs="Arial"/>
          <w:b/>
          <w:bCs/>
        </w:rPr>
        <w:t xml:space="preserve"> (outlined above)</w:t>
      </w:r>
      <w:r w:rsidRPr="000C0E19">
        <w:rPr>
          <w:rFonts w:ascii="Arial" w:hAnsi="Arial" w:cs="Arial"/>
          <w:b/>
          <w:bCs/>
        </w:rPr>
        <w:t>.</w:t>
      </w:r>
      <w:r w:rsidRPr="000C0E19">
        <w:rPr>
          <w:rFonts w:ascii="Arial" w:hAnsi="Arial" w:cs="Arial"/>
        </w:rPr>
        <w:br/>
        <w:t>For large-scale changes, proposals may be reviewed at multiple points within NHSE. Build time into your project plan accordingly.</w:t>
      </w:r>
    </w:p>
    <w:p w14:paraId="5E140B8C" w14:textId="0AAD1A3D" w:rsidR="00B13129" w:rsidRPr="000C0E19" w:rsidRDefault="00B13129" w:rsidP="00B13129">
      <w:pPr>
        <w:numPr>
          <w:ilvl w:val="0"/>
          <w:numId w:val="5"/>
        </w:numPr>
        <w:rPr>
          <w:rFonts w:ascii="Arial" w:hAnsi="Arial" w:cs="Arial"/>
        </w:rPr>
      </w:pPr>
      <w:r w:rsidRPr="000C0E19">
        <w:rPr>
          <w:rFonts w:ascii="Arial" w:hAnsi="Arial" w:cs="Arial"/>
          <w:b/>
          <w:bCs/>
        </w:rPr>
        <w:t>Legal duties start from the beginning.</w:t>
      </w:r>
      <w:r w:rsidRPr="000C0E19">
        <w:rPr>
          <w:rFonts w:ascii="Arial" w:hAnsi="Arial" w:cs="Arial"/>
        </w:rPr>
        <w:br/>
      </w:r>
      <w:r w:rsidR="00525755" w:rsidRPr="000C0E19">
        <w:rPr>
          <w:rFonts w:ascii="Arial" w:hAnsi="Arial" w:cs="Arial"/>
        </w:rPr>
        <w:t>Patient and public involvement (PPI), along with compliance with equality and other statutory duties, must begin at the earliest planning stages. Not just during consultation.</w:t>
      </w:r>
    </w:p>
    <w:p w14:paraId="420BD499" w14:textId="7C05AF44" w:rsidR="00B13129" w:rsidRPr="000C0E19" w:rsidRDefault="00B13129" w:rsidP="00B13129">
      <w:pPr>
        <w:numPr>
          <w:ilvl w:val="0"/>
          <w:numId w:val="5"/>
        </w:numPr>
        <w:rPr>
          <w:rFonts w:ascii="Arial" w:hAnsi="Arial" w:cs="Arial"/>
        </w:rPr>
      </w:pPr>
      <w:r w:rsidRPr="000C0E19">
        <w:rPr>
          <w:rFonts w:ascii="Arial" w:hAnsi="Arial" w:cs="Arial"/>
          <w:b/>
          <w:bCs/>
        </w:rPr>
        <w:t>Align</w:t>
      </w:r>
      <w:r w:rsidR="00525755" w:rsidRPr="000C0E19">
        <w:rPr>
          <w:rFonts w:ascii="Arial" w:hAnsi="Arial" w:cs="Arial"/>
          <w:b/>
          <w:bCs/>
        </w:rPr>
        <w:t xml:space="preserve">ment of communications and </w:t>
      </w:r>
      <w:r w:rsidRPr="000C0E19">
        <w:rPr>
          <w:rFonts w:ascii="Arial" w:hAnsi="Arial" w:cs="Arial"/>
          <w:b/>
          <w:bCs/>
        </w:rPr>
        <w:t>engagement</w:t>
      </w:r>
      <w:r w:rsidR="00525755" w:rsidRPr="000C0E19">
        <w:rPr>
          <w:rFonts w:ascii="Arial" w:hAnsi="Arial" w:cs="Arial"/>
          <w:b/>
          <w:bCs/>
        </w:rPr>
        <w:t>.</w:t>
      </w:r>
      <w:r w:rsidRPr="000C0E19">
        <w:rPr>
          <w:rFonts w:ascii="Arial" w:hAnsi="Arial" w:cs="Arial"/>
        </w:rPr>
        <w:br/>
      </w:r>
      <w:r w:rsidR="00525755" w:rsidRPr="000C0E19">
        <w:rPr>
          <w:rFonts w:ascii="Arial" w:hAnsi="Arial" w:cs="Arial"/>
        </w:rPr>
        <w:t>The</w:t>
      </w:r>
      <w:r w:rsidRPr="000C0E19">
        <w:rPr>
          <w:rFonts w:ascii="Arial" w:hAnsi="Arial" w:cs="Arial"/>
        </w:rPr>
        <w:t xml:space="preserve"> case for change, comms strategy, and public engagement </w:t>
      </w:r>
      <w:r w:rsidR="00525755" w:rsidRPr="000C0E19">
        <w:rPr>
          <w:rFonts w:ascii="Arial" w:hAnsi="Arial" w:cs="Arial"/>
        </w:rPr>
        <w:t>need to be</w:t>
      </w:r>
      <w:r w:rsidRPr="000C0E19">
        <w:rPr>
          <w:rFonts w:ascii="Arial" w:hAnsi="Arial" w:cs="Arial"/>
        </w:rPr>
        <w:t xml:space="preserve"> coherent and consistent.</w:t>
      </w:r>
    </w:p>
    <w:p w14:paraId="5AE7CA25" w14:textId="7E05F508" w:rsidR="00B13129" w:rsidRPr="000C0E19" w:rsidRDefault="00B13129" w:rsidP="00B13129">
      <w:pPr>
        <w:numPr>
          <w:ilvl w:val="0"/>
          <w:numId w:val="5"/>
        </w:numPr>
        <w:rPr>
          <w:rFonts w:ascii="Arial" w:hAnsi="Arial" w:cs="Arial"/>
        </w:rPr>
      </w:pPr>
      <w:r w:rsidRPr="000C0E19">
        <w:rPr>
          <w:rFonts w:ascii="Arial" w:hAnsi="Arial" w:cs="Arial"/>
          <w:b/>
          <w:bCs/>
        </w:rPr>
        <w:t xml:space="preserve">Plan </w:t>
      </w:r>
      <w:r w:rsidR="00525755" w:rsidRPr="000C0E19">
        <w:rPr>
          <w:rFonts w:ascii="Arial" w:hAnsi="Arial" w:cs="Arial"/>
          <w:b/>
          <w:bCs/>
        </w:rPr>
        <w:t>a realistic</w:t>
      </w:r>
      <w:r w:rsidRPr="000C0E19">
        <w:rPr>
          <w:rFonts w:ascii="Arial" w:hAnsi="Arial" w:cs="Arial"/>
          <w:b/>
          <w:bCs/>
        </w:rPr>
        <w:t xml:space="preserve"> timeline.</w:t>
      </w:r>
      <w:r w:rsidRPr="000C0E19">
        <w:rPr>
          <w:rFonts w:ascii="Arial" w:hAnsi="Arial" w:cs="Arial"/>
        </w:rPr>
        <w:br/>
        <w:t>NHSE assurance can take time</w:t>
      </w:r>
      <w:r w:rsidR="00525755" w:rsidRPr="000C0E19">
        <w:rPr>
          <w:rFonts w:ascii="Arial" w:hAnsi="Arial" w:cs="Arial"/>
        </w:rPr>
        <w:t xml:space="preserve"> and should be included in the programme plan to avoid last minute pressures</w:t>
      </w:r>
      <w:r w:rsidRPr="000C0E19">
        <w:rPr>
          <w:rFonts w:ascii="Arial" w:hAnsi="Arial" w:cs="Arial"/>
        </w:rPr>
        <w:t xml:space="preserve">. </w:t>
      </w:r>
    </w:p>
    <w:p w14:paraId="65E8F887" w14:textId="77777777" w:rsidR="00B13129" w:rsidRPr="000C0E19" w:rsidRDefault="00B13129" w:rsidP="00A44616">
      <w:pPr>
        <w:shd w:val="clear" w:color="auto" w:fill="E8E8E8" w:themeFill="background2"/>
        <w:rPr>
          <w:rFonts w:ascii="Arial" w:hAnsi="Arial" w:cs="Arial"/>
          <w:b/>
          <w:bCs/>
        </w:rPr>
      </w:pPr>
      <w:r w:rsidRPr="000C0E19">
        <w:rPr>
          <w:rFonts w:ascii="Arial" w:hAnsi="Arial" w:cs="Arial"/>
          <w:b/>
          <w:bCs/>
        </w:rPr>
        <w:t>Who Attends NHSE Assurance Meetings?</w:t>
      </w:r>
    </w:p>
    <w:p w14:paraId="35934143" w14:textId="77777777" w:rsidR="00B13129" w:rsidRPr="000C0E19" w:rsidRDefault="00B13129" w:rsidP="00B13129">
      <w:pPr>
        <w:rPr>
          <w:rFonts w:ascii="Arial" w:hAnsi="Arial" w:cs="Arial"/>
          <w:b/>
          <w:bCs/>
        </w:rPr>
      </w:pPr>
      <w:r w:rsidRPr="000C0E19">
        <w:rPr>
          <w:rFonts w:ascii="Arial" w:hAnsi="Arial" w:cs="Arial"/>
          <w:b/>
          <w:bCs/>
        </w:rPr>
        <w:t>From NHS England (Regional Team):</w:t>
      </w:r>
    </w:p>
    <w:p w14:paraId="6D3B8898" w14:textId="77777777" w:rsidR="00B13129" w:rsidRPr="000C0E19" w:rsidRDefault="00B13129" w:rsidP="00525755">
      <w:pPr>
        <w:pStyle w:val="ListParagraph"/>
        <w:numPr>
          <w:ilvl w:val="0"/>
          <w:numId w:val="14"/>
        </w:numPr>
        <w:rPr>
          <w:rFonts w:ascii="Arial" w:hAnsi="Arial" w:cs="Arial"/>
        </w:rPr>
      </w:pPr>
      <w:r w:rsidRPr="000C0E19">
        <w:rPr>
          <w:rFonts w:ascii="Arial" w:hAnsi="Arial" w:cs="Arial"/>
        </w:rPr>
        <w:t>Regional Reconfiguration Lead – leads the assurance process</w:t>
      </w:r>
    </w:p>
    <w:p w14:paraId="1FF42695" w14:textId="77777777" w:rsidR="00B13129" w:rsidRPr="000C0E19" w:rsidRDefault="00B13129" w:rsidP="00525755">
      <w:pPr>
        <w:pStyle w:val="ListParagraph"/>
        <w:numPr>
          <w:ilvl w:val="0"/>
          <w:numId w:val="14"/>
        </w:numPr>
        <w:rPr>
          <w:rFonts w:ascii="Arial" w:hAnsi="Arial" w:cs="Arial"/>
        </w:rPr>
      </w:pPr>
      <w:r w:rsidRPr="000C0E19">
        <w:rPr>
          <w:rFonts w:ascii="Arial" w:hAnsi="Arial" w:cs="Arial"/>
        </w:rPr>
        <w:t>Clinical Leads – review the clinical case for change</w:t>
      </w:r>
    </w:p>
    <w:p w14:paraId="7478E33D" w14:textId="77777777" w:rsidR="00B13129" w:rsidRPr="000C0E19" w:rsidRDefault="00B13129" w:rsidP="00525755">
      <w:pPr>
        <w:pStyle w:val="ListParagraph"/>
        <w:numPr>
          <w:ilvl w:val="0"/>
          <w:numId w:val="14"/>
        </w:numPr>
        <w:rPr>
          <w:rFonts w:ascii="Arial" w:hAnsi="Arial" w:cs="Arial"/>
        </w:rPr>
      </w:pPr>
      <w:r w:rsidRPr="000C0E19">
        <w:rPr>
          <w:rFonts w:ascii="Arial" w:hAnsi="Arial" w:cs="Arial"/>
        </w:rPr>
        <w:t>Finance Representatives – assess financial modelling and sustainability</w:t>
      </w:r>
    </w:p>
    <w:p w14:paraId="5CB29571" w14:textId="77777777" w:rsidR="00B13129" w:rsidRPr="000C0E19" w:rsidRDefault="00B13129" w:rsidP="00525755">
      <w:pPr>
        <w:pStyle w:val="ListParagraph"/>
        <w:numPr>
          <w:ilvl w:val="0"/>
          <w:numId w:val="14"/>
        </w:numPr>
        <w:rPr>
          <w:rFonts w:ascii="Arial" w:hAnsi="Arial" w:cs="Arial"/>
        </w:rPr>
      </w:pPr>
      <w:r w:rsidRPr="000C0E19">
        <w:rPr>
          <w:rFonts w:ascii="Arial" w:hAnsi="Arial" w:cs="Arial"/>
        </w:rPr>
        <w:t>Public Participation and Equalities Team – ensure legal duties and engagement standards are met</w:t>
      </w:r>
    </w:p>
    <w:p w14:paraId="4A1BFAAC" w14:textId="77777777" w:rsidR="00B13129" w:rsidRPr="000C0E19" w:rsidRDefault="00B13129" w:rsidP="00525755">
      <w:pPr>
        <w:pStyle w:val="ListParagraph"/>
        <w:numPr>
          <w:ilvl w:val="0"/>
          <w:numId w:val="14"/>
        </w:numPr>
        <w:rPr>
          <w:rFonts w:ascii="Arial" w:hAnsi="Arial" w:cs="Arial"/>
        </w:rPr>
      </w:pPr>
      <w:r w:rsidRPr="000C0E19">
        <w:rPr>
          <w:rFonts w:ascii="Arial" w:hAnsi="Arial" w:cs="Arial"/>
        </w:rPr>
        <w:t>Communications and Engagement Leads – review consultation plans and engagement evidence</w:t>
      </w:r>
    </w:p>
    <w:p w14:paraId="2E6C8488" w14:textId="2AF8C5DA" w:rsidR="00B13129" w:rsidRPr="000C0E19" w:rsidRDefault="00B13129" w:rsidP="00525755">
      <w:pPr>
        <w:pStyle w:val="ListParagraph"/>
        <w:numPr>
          <w:ilvl w:val="0"/>
          <w:numId w:val="14"/>
        </w:numPr>
        <w:rPr>
          <w:rFonts w:ascii="Arial" w:hAnsi="Arial" w:cs="Arial"/>
        </w:rPr>
      </w:pPr>
      <w:r w:rsidRPr="000C0E19">
        <w:rPr>
          <w:rFonts w:ascii="Arial" w:hAnsi="Arial" w:cs="Arial"/>
        </w:rPr>
        <w:t>Other subject matter experts as required (e.g. urgent care, maternity, estates)</w:t>
      </w:r>
      <w:r w:rsidR="00525755" w:rsidRPr="000C0E19">
        <w:rPr>
          <w:rFonts w:ascii="Arial" w:hAnsi="Arial" w:cs="Arial"/>
        </w:rPr>
        <w:t>.</w:t>
      </w:r>
    </w:p>
    <w:p w14:paraId="14252C67" w14:textId="77777777" w:rsidR="00B13129" w:rsidRPr="000C0E19" w:rsidRDefault="00B13129" w:rsidP="00B13129">
      <w:pPr>
        <w:rPr>
          <w:rFonts w:ascii="Arial" w:hAnsi="Arial" w:cs="Arial"/>
          <w:b/>
          <w:bCs/>
        </w:rPr>
      </w:pPr>
      <w:r w:rsidRPr="000C0E19">
        <w:rPr>
          <w:rFonts w:ascii="Arial" w:hAnsi="Arial" w:cs="Arial"/>
          <w:b/>
          <w:bCs/>
        </w:rPr>
        <w:t>From the ICB / Local System:</w:t>
      </w:r>
    </w:p>
    <w:p w14:paraId="71251A78" w14:textId="77777777" w:rsidR="00B13129" w:rsidRPr="000C0E19" w:rsidRDefault="00B13129" w:rsidP="00525755">
      <w:pPr>
        <w:pStyle w:val="ListParagraph"/>
        <w:numPr>
          <w:ilvl w:val="0"/>
          <w:numId w:val="15"/>
        </w:numPr>
        <w:rPr>
          <w:rFonts w:ascii="Arial" w:hAnsi="Arial" w:cs="Arial"/>
        </w:rPr>
      </w:pPr>
      <w:r w:rsidRPr="000C0E19">
        <w:rPr>
          <w:rFonts w:ascii="Arial" w:hAnsi="Arial" w:cs="Arial"/>
        </w:rPr>
        <w:t>Programme or Transformation Lead – presents the case for change</w:t>
      </w:r>
    </w:p>
    <w:p w14:paraId="3775707F" w14:textId="77777777" w:rsidR="00B13129" w:rsidRPr="000C0E19" w:rsidRDefault="00B13129" w:rsidP="00525755">
      <w:pPr>
        <w:pStyle w:val="ListParagraph"/>
        <w:numPr>
          <w:ilvl w:val="0"/>
          <w:numId w:val="15"/>
        </w:numPr>
        <w:rPr>
          <w:rFonts w:ascii="Arial" w:hAnsi="Arial" w:cs="Arial"/>
        </w:rPr>
      </w:pPr>
      <w:r w:rsidRPr="000C0E19">
        <w:rPr>
          <w:rFonts w:ascii="Arial" w:hAnsi="Arial" w:cs="Arial"/>
        </w:rPr>
        <w:t>Clinical Lead or Medical Director – outlines the clinical rationale</w:t>
      </w:r>
    </w:p>
    <w:p w14:paraId="2F697834" w14:textId="77777777" w:rsidR="00B13129" w:rsidRPr="000C0E19" w:rsidRDefault="00B13129" w:rsidP="00525755">
      <w:pPr>
        <w:pStyle w:val="ListParagraph"/>
        <w:numPr>
          <w:ilvl w:val="0"/>
          <w:numId w:val="15"/>
        </w:numPr>
        <w:rPr>
          <w:rFonts w:ascii="Arial" w:hAnsi="Arial" w:cs="Arial"/>
        </w:rPr>
      </w:pPr>
      <w:r w:rsidRPr="000C0E19">
        <w:rPr>
          <w:rFonts w:ascii="Arial" w:hAnsi="Arial" w:cs="Arial"/>
        </w:rPr>
        <w:t>Finance Lead – supports with costings and impact analysis</w:t>
      </w:r>
    </w:p>
    <w:p w14:paraId="7C3521FA" w14:textId="77777777" w:rsidR="00B13129" w:rsidRPr="000C0E19" w:rsidRDefault="00B13129" w:rsidP="00525755">
      <w:pPr>
        <w:pStyle w:val="ListParagraph"/>
        <w:numPr>
          <w:ilvl w:val="0"/>
          <w:numId w:val="15"/>
        </w:numPr>
        <w:rPr>
          <w:rFonts w:ascii="Arial" w:hAnsi="Arial" w:cs="Arial"/>
        </w:rPr>
      </w:pPr>
      <w:r w:rsidRPr="000C0E19">
        <w:rPr>
          <w:rFonts w:ascii="Arial" w:hAnsi="Arial" w:cs="Arial"/>
        </w:rPr>
        <w:t>Communications and Engagement Lead – explains the engagement strategy and findings</w:t>
      </w:r>
    </w:p>
    <w:p w14:paraId="1D6571C7" w14:textId="211E881B" w:rsidR="00B13129" w:rsidRPr="000C0E19" w:rsidRDefault="00525755" w:rsidP="00525755">
      <w:pPr>
        <w:pStyle w:val="ListParagraph"/>
        <w:numPr>
          <w:ilvl w:val="0"/>
          <w:numId w:val="15"/>
        </w:numPr>
        <w:rPr>
          <w:rFonts w:ascii="Arial" w:hAnsi="Arial" w:cs="Arial"/>
        </w:rPr>
      </w:pPr>
      <w:r w:rsidRPr="000C0E19">
        <w:rPr>
          <w:rFonts w:ascii="Arial" w:hAnsi="Arial" w:cs="Arial"/>
        </w:rPr>
        <w:lastRenderedPageBreak/>
        <w:t>Quality and Equality</w:t>
      </w:r>
      <w:r w:rsidR="00B13129" w:rsidRPr="000C0E19">
        <w:rPr>
          <w:rFonts w:ascii="Arial" w:hAnsi="Arial" w:cs="Arial"/>
        </w:rPr>
        <w:t xml:space="preserve"> Lead – supports with </w:t>
      </w:r>
      <w:r w:rsidRPr="000C0E19">
        <w:rPr>
          <w:rFonts w:ascii="Arial" w:hAnsi="Arial" w:cs="Arial"/>
        </w:rPr>
        <w:t>QEIA</w:t>
      </w:r>
      <w:r w:rsidR="00B13129" w:rsidRPr="000C0E19">
        <w:rPr>
          <w:rFonts w:ascii="Arial" w:hAnsi="Arial" w:cs="Arial"/>
        </w:rPr>
        <w:t>s</w:t>
      </w:r>
    </w:p>
    <w:p w14:paraId="57CA9FCE" w14:textId="70B6E3E1" w:rsidR="00B13129" w:rsidRPr="000C0E19" w:rsidRDefault="00B13129" w:rsidP="00525755">
      <w:pPr>
        <w:pStyle w:val="ListParagraph"/>
        <w:numPr>
          <w:ilvl w:val="0"/>
          <w:numId w:val="15"/>
        </w:numPr>
        <w:rPr>
          <w:rFonts w:ascii="Arial" w:hAnsi="Arial" w:cs="Arial"/>
        </w:rPr>
      </w:pPr>
      <w:r w:rsidRPr="000C0E19">
        <w:rPr>
          <w:rFonts w:ascii="Arial" w:hAnsi="Arial" w:cs="Arial"/>
        </w:rPr>
        <w:t>Project Management Support</w:t>
      </w:r>
      <w:r w:rsidR="00525755" w:rsidRPr="000C0E19">
        <w:rPr>
          <w:rFonts w:ascii="Arial" w:hAnsi="Arial" w:cs="Arial"/>
        </w:rPr>
        <w:t xml:space="preserve"> </w:t>
      </w:r>
      <w:r w:rsidRPr="000C0E19">
        <w:rPr>
          <w:rFonts w:ascii="Arial" w:hAnsi="Arial" w:cs="Arial"/>
        </w:rPr>
        <w:t>– provides proposal context</w:t>
      </w:r>
    </w:p>
    <w:p w14:paraId="13618ABD" w14:textId="77777777" w:rsidR="00B13129" w:rsidRPr="000C0E19" w:rsidRDefault="00B13129" w:rsidP="00B13129">
      <w:pPr>
        <w:rPr>
          <w:rFonts w:ascii="Arial" w:hAnsi="Arial" w:cs="Arial"/>
          <w:b/>
          <w:bCs/>
        </w:rPr>
      </w:pPr>
      <w:r w:rsidRPr="000C0E19">
        <w:rPr>
          <w:rFonts w:ascii="Arial" w:hAnsi="Arial" w:cs="Arial"/>
          <w:b/>
          <w:bCs/>
        </w:rPr>
        <w:t>Others (where relevant):</w:t>
      </w:r>
    </w:p>
    <w:p w14:paraId="20143387" w14:textId="77777777" w:rsidR="00B13129" w:rsidRPr="000C0E19" w:rsidRDefault="00B13129" w:rsidP="00525755">
      <w:pPr>
        <w:pStyle w:val="ListParagraph"/>
        <w:numPr>
          <w:ilvl w:val="0"/>
          <w:numId w:val="16"/>
        </w:numPr>
        <w:rPr>
          <w:rFonts w:ascii="Arial" w:hAnsi="Arial" w:cs="Arial"/>
        </w:rPr>
      </w:pPr>
      <w:r w:rsidRPr="000C0E19">
        <w:rPr>
          <w:rFonts w:ascii="Arial" w:hAnsi="Arial" w:cs="Arial"/>
        </w:rPr>
        <w:t>Provider organisations involved in the change</w:t>
      </w:r>
    </w:p>
    <w:p w14:paraId="420984BB" w14:textId="77777777" w:rsidR="00B13129" w:rsidRPr="000C0E19" w:rsidRDefault="00B13129" w:rsidP="00525755">
      <w:pPr>
        <w:pStyle w:val="ListParagraph"/>
        <w:numPr>
          <w:ilvl w:val="0"/>
          <w:numId w:val="16"/>
        </w:numPr>
        <w:rPr>
          <w:rFonts w:ascii="Arial" w:hAnsi="Arial" w:cs="Arial"/>
        </w:rPr>
      </w:pPr>
      <w:r w:rsidRPr="000C0E19">
        <w:rPr>
          <w:rFonts w:ascii="Arial" w:hAnsi="Arial" w:cs="Arial"/>
        </w:rPr>
        <w:t>Local Authority reps / HOSC liaison</w:t>
      </w:r>
    </w:p>
    <w:p w14:paraId="04F48EA2" w14:textId="43BDCAA2" w:rsidR="00095A57" w:rsidRPr="000C0E19" w:rsidRDefault="00B13129" w:rsidP="00095A57">
      <w:pPr>
        <w:pStyle w:val="ListParagraph"/>
        <w:numPr>
          <w:ilvl w:val="0"/>
          <w:numId w:val="16"/>
        </w:numPr>
        <w:rPr>
          <w:rFonts w:ascii="Arial" w:hAnsi="Arial" w:cs="Arial"/>
        </w:rPr>
      </w:pPr>
      <w:r w:rsidRPr="000C0E19">
        <w:rPr>
          <w:rFonts w:ascii="Arial" w:hAnsi="Arial" w:cs="Arial"/>
        </w:rPr>
        <w:t>Legal advisors (occasionally, for complex or high-risk proposals)</w:t>
      </w:r>
      <w:r w:rsidR="00D576C1" w:rsidRPr="000C0E19">
        <w:rPr>
          <w:rFonts w:ascii="Arial" w:hAnsi="Arial" w:cs="Arial"/>
        </w:rPr>
        <w:t>.</w:t>
      </w:r>
      <w:r w:rsidR="00E01E18" w:rsidRPr="000C0E19">
        <w:rPr>
          <w:rFonts w:ascii="Arial" w:hAnsi="Arial" w:cs="Arial"/>
        </w:rPr>
        <w:t>,</w:t>
      </w:r>
    </w:p>
    <w:p w14:paraId="7CE5E4DA" w14:textId="32CC94D7" w:rsidR="00E01E18" w:rsidRPr="000C0E19" w:rsidRDefault="00E01E18" w:rsidP="00FD14B3">
      <w:pPr>
        <w:shd w:val="clear" w:color="auto" w:fill="E8E8E8" w:themeFill="background2"/>
        <w:rPr>
          <w:rFonts w:ascii="Arial" w:hAnsi="Arial" w:cs="Arial"/>
          <w:b/>
          <w:bCs/>
        </w:rPr>
      </w:pPr>
      <w:r w:rsidRPr="000C0E19">
        <w:rPr>
          <w:rFonts w:ascii="Arial" w:hAnsi="Arial" w:cs="Arial"/>
          <w:b/>
          <w:bCs/>
        </w:rPr>
        <w:t>Other guidance to consider</w:t>
      </w:r>
      <w:r w:rsidR="00FD14B3" w:rsidRPr="000C0E19">
        <w:rPr>
          <w:rFonts w:ascii="Arial" w:hAnsi="Arial" w:cs="Arial"/>
          <w:b/>
          <w:bCs/>
        </w:rPr>
        <w:t xml:space="preserve"> prior to consultation</w:t>
      </w:r>
      <w:r w:rsidRPr="000C0E19">
        <w:rPr>
          <w:rFonts w:ascii="Arial" w:hAnsi="Arial" w:cs="Arial"/>
          <w:b/>
          <w:bCs/>
        </w:rPr>
        <w:t>:</w:t>
      </w:r>
    </w:p>
    <w:p w14:paraId="460A2930" w14:textId="77777777" w:rsidR="000C0E19" w:rsidRPr="000C0E19" w:rsidRDefault="000C0E19" w:rsidP="000C0E19">
      <w:pPr>
        <w:pStyle w:val="ListParagraph"/>
        <w:numPr>
          <w:ilvl w:val="0"/>
          <w:numId w:val="35"/>
        </w:numPr>
        <w:spacing w:after="0" w:line="240" w:lineRule="auto"/>
        <w:rPr>
          <w:rFonts w:ascii="Arial" w:hAnsi="Arial" w:cs="Arial"/>
        </w:rPr>
      </w:pPr>
      <w:hyperlink r:id="rId14" w:history="1">
        <w:r w:rsidRPr="000C0E19">
          <w:rPr>
            <w:rStyle w:val="Hyperlink"/>
            <w:rFonts w:ascii="Arial" w:hAnsi="Arial" w:cs="Arial"/>
          </w:rPr>
          <w:t>Notifying and requesting a Call-In by the of Secretary State (SoS)</w:t>
        </w:r>
      </w:hyperlink>
    </w:p>
    <w:p w14:paraId="65292D4A" w14:textId="77777777" w:rsidR="000C0E19" w:rsidRPr="000C0E19" w:rsidRDefault="000C0E19" w:rsidP="000C0E19">
      <w:pPr>
        <w:pStyle w:val="ListParagraph"/>
        <w:numPr>
          <w:ilvl w:val="0"/>
          <w:numId w:val="35"/>
        </w:numPr>
        <w:spacing w:after="0" w:line="240" w:lineRule="auto"/>
        <w:rPr>
          <w:rFonts w:ascii="Arial" w:hAnsi="Arial" w:cs="Arial"/>
        </w:rPr>
      </w:pPr>
      <w:hyperlink r:id="rId15" w:history="1">
        <w:r w:rsidRPr="000C0E19">
          <w:rPr>
            <w:rStyle w:val="Hyperlink"/>
            <w:rFonts w:ascii="Arial" w:hAnsi="Arial" w:cs="Arial"/>
          </w:rPr>
          <w:t>Clinical Senate Guidance</w:t>
        </w:r>
      </w:hyperlink>
    </w:p>
    <w:p w14:paraId="434C6DBE" w14:textId="4731075E" w:rsidR="000E1060" w:rsidRPr="000C0E19" w:rsidRDefault="000E1060" w:rsidP="00E01E18">
      <w:pPr>
        <w:pStyle w:val="ListParagraph"/>
        <w:rPr>
          <w:rFonts w:ascii="Arial" w:hAnsi="Arial" w:cs="Arial"/>
        </w:rPr>
      </w:pPr>
    </w:p>
    <w:sectPr w:rsidR="000E1060" w:rsidRPr="000C0E19">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A3468" w14:textId="77777777" w:rsidR="001F7B19" w:rsidRDefault="001F7B19" w:rsidP="001F7B19">
      <w:pPr>
        <w:spacing w:after="0" w:line="240" w:lineRule="auto"/>
      </w:pPr>
      <w:r>
        <w:separator/>
      </w:r>
    </w:p>
  </w:endnote>
  <w:endnote w:type="continuationSeparator" w:id="0">
    <w:p w14:paraId="3B1F0C5C" w14:textId="77777777" w:rsidR="001F7B19" w:rsidRDefault="001F7B19" w:rsidP="001F7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861F3" w14:textId="77777777" w:rsidR="001F7B19" w:rsidRDefault="001F7B19" w:rsidP="001F7B19">
      <w:pPr>
        <w:spacing w:after="0" w:line="240" w:lineRule="auto"/>
      </w:pPr>
      <w:r>
        <w:separator/>
      </w:r>
    </w:p>
  </w:footnote>
  <w:footnote w:type="continuationSeparator" w:id="0">
    <w:p w14:paraId="40BD5CF2" w14:textId="77777777" w:rsidR="001F7B19" w:rsidRDefault="001F7B19" w:rsidP="001F7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8702" w14:textId="524C9A3A" w:rsidR="001F7B19" w:rsidRDefault="001F7B19">
    <w:pPr>
      <w:pStyle w:val="Header"/>
    </w:pPr>
    <w:r>
      <w:rPr>
        <w:noProof/>
      </w:rPr>
      <w:drawing>
        <wp:anchor distT="0" distB="0" distL="114300" distR="114300" simplePos="0" relativeHeight="251659264" behindDoc="0" locked="0" layoutInCell="1" allowOverlap="1" wp14:anchorId="70E5D1D5" wp14:editId="532E0F79">
          <wp:simplePos x="0" y="0"/>
          <wp:positionH relativeFrom="margin">
            <wp:posOffset>-863600</wp:posOffset>
          </wp:positionH>
          <wp:positionV relativeFrom="paragraph">
            <wp:posOffset>-398780</wp:posOffset>
          </wp:positionV>
          <wp:extent cx="1431290" cy="571500"/>
          <wp:effectExtent l="0" t="0" r="0" b="0"/>
          <wp:wrapNone/>
          <wp:docPr id="1262793574" name="Picture 1" descr="A picture containing timeli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1290" cy="571500"/>
                  </a:xfrm>
                  <a:prstGeom prst="rect">
                    <a:avLst/>
                  </a:prstGeom>
                  <a:noFill/>
                  <a:ln>
                    <a:noFill/>
                    <a:prstDash/>
                  </a:ln>
                </pic:spPr>
              </pic:pic>
            </a:graphicData>
          </a:graphic>
        </wp:anchor>
      </w:drawing>
    </w:r>
    <w:r>
      <w:rPr>
        <w:noProof/>
      </w:rPr>
      <w:drawing>
        <wp:anchor distT="0" distB="0" distL="114300" distR="114300" simplePos="0" relativeHeight="251660288" behindDoc="0" locked="0" layoutInCell="1" allowOverlap="1" wp14:anchorId="5F7732F4" wp14:editId="408897A3">
          <wp:simplePos x="0" y="0"/>
          <wp:positionH relativeFrom="column">
            <wp:posOffset>5056912</wp:posOffset>
          </wp:positionH>
          <wp:positionV relativeFrom="paragraph">
            <wp:posOffset>-446862</wp:posOffset>
          </wp:positionV>
          <wp:extent cx="1584326" cy="712473"/>
          <wp:effectExtent l="0" t="0" r="0" b="0"/>
          <wp:wrapNone/>
          <wp:docPr id="78471401"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84326" cy="71247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523"/>
    <w:multiLevelType w:val="hybridMultilevel"/>
    <w:tmpl w:val="E71470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A87BD4"/>
    <w:multiLevelType w:val="hybridMultilevel"/>
    <w:tmpl w:val="76C2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75EAB"/>
    <w:multiLevelType w:val="multilevel"/>
    <w:tmpl w:val="0380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4570F"/>
    <w:multiLevelType w:val="hybridMultilevel"/>
    <w:tmpl w:val="F3F003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434C0B"/>
    <w:multiLevelType w:val="hybridMultilevel"/>
    <w:tmpl w:val="ED82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F78EA"/>
    <w:multiLevelType w:val="hybridMultilevel"/>
    <w:tmpl w:val="F620C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6625BE"/>
    <w:multiLevelType w:val="hybridMultilevel"/>
    <w:tmpl w:val="4E8E1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E87064"/>
    <w:multiLevelType w:val="multilevel"/>
    <w:tmpl w:val="FC640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4F716F"/>
    <w:multiLevelType w:val="multilevel"/>
    <w:tmpl w:val="0EAC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3F59B7"/>
    <w:multiLevelType w:val="multilevel"/>
    <w:tmpl w:val="2368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51F68"/>
    <w:multiLevelType w:val="hybridMultilevel"/>
    <w:tmpl w:val="2304A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813719"/>
    <w:multiLevelType w:val="hybridMultilevel"/>
    <w:tmpl w:val="B4EC64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C079D"/>
    <w:multiLevelType w:val="hybridMultilevel"/>
    <w:tmpl w:val="B9A478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864C9"/>
    <w:multiLevelType w:val="hybridMultilevel"/>
    <w:tmpl w:val="9670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5F6961"/>
    <w:multiLevelType w:val="multilevel"/>
    <w:tmpl w:val="EC16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91CC6"/>
    <w:multiLevelType w:val="hybridMultilevel"/>
    <w:tmpl w:val="1FDC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1A3107"/>
    <w:multiLevelType w:val="hybridMultilevel"/>
    <w:tmpl w:val="09FAFA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B44182"/>
    <w:multiLevelType w:val="multilevel"/>
    <w:tmpl w:val="B884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827CF9"/>
    <w:multiLevelType w:val="multilevel"/>
    <w:tmpl w:val="5034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1E1529"/>
    <w:multiLevelType w:val="hybridMultilevel"/>
    <w:tmpl w:val="0E9A7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592FB4"/>
    <w:multiLevelType w:val="hybridMultilevel"/>
    <w:tmpl w:val="8C423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30615A"/>
    <w:multiLevelType w:val="hybridMultilevel"/>
    <w:tmpl w:val="222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5064D6"/>
    <w:multiLevelType w:val="multilevel"/>
    <w:tmpl w:val="575E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6D15DD"/>
    <w:multiLevelType w:val="hybridMultilevel"/>
    <w:tmpl w:val="EEA0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F024D8"/>
    <w:multiLevelType w:val="hybridMultilevel"/>
    <w:tmpl w:val="70C6E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C66488"/>
    <w:multiLevelType w:val="hybridMultilevel"/>
    <w:tmpl w:val="EAE01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4449D3"/>
    <w:multiLevelType w:val="hybridMultilevel"/>
    <w:tmpl w:val="D57A4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BB1555"/>
    <w:multiLevelType w:val="multilevel"/>
    <w:tmpl w:val="0DA8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16440"/>
    <w:multiLevelType w:val="multilevel"/>
    <w:tmpl w:val="66D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CD28AE"/>
    <w:multiLevelType w:val="hybridMultilevel"/>
    <w:tmpl w:val="ECFE6A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AB29EF"/>
    <w:multiLevelType w:val="hybridMultilevel"/>
    <w:tmpl w:val="E862B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481A35"/>
    <w:multiLevelType w:val="multilevel"/>
    <w:tmpl w:val="2712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CA26DF"/>
    <w:multiLevelType w:val="hybridMultilevel"/>
    <w:tmpl w:val="0AF4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311B25"/>
    <w:multiLevelType w:val="hybridMultilevel"/>
    <w:tmpl w:val="20D61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7713EE"/>
    <w:multiLevelType w:val="hybridMultilevel"/>
    <w:tmpl w:val="82D0C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6768F2"/>
    <w:multiLevelType w:val="hybridMultilevel"/>
    <w:tmpl w:val="94621E94"/>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num w:numId="1" w16cid:durableId="497234028">
    <w:abstractNumId w:val="17"/>
  </w:num>
  <w:num w:numId="2" w16cid:durableId="1251811108">
    <w:abstractNumId w:val="22"/>
  </w:num>
  <w:num w:numId="3" w16cid:durableId="1111510678">
    <w:abstractNumId w:val="31"/>
  </w:num>
  <w:num w:numId="4" w16cid:durableId="1914125171">
    <w:abstractNumId w:val="7"/>
  </w:num>
  <w:num w:numId="5" w16cid:durableId="312567240">
    <w:abstractNumId w:val="9"/>
  </w:num>
  <w:num w:numId="6" w16cid:durableId="1549805031">
    <w:abstractNumId w:val="18"/>
  </w:num>
  <w:num w:numId="7" w16cid:durableId="2123643284">
    <w:abstractNumId w:val="27"/>
  </w:num>
  <w:num w:numId="8" w16cid:durableId="540367683">
    <w:abstractNumId w:val="14"/>
  </w:num>
  <w:num w:numId="9" w16cid:durableId="1137995590">
    <w:abstractNumId w:val="12"/>
  </w:num>
  <w:num w:numId="10" w16cid:durableId="1520851099">
    <w:abstractNumId w:val="0"/>
  </w:num>
  <w:num w:numId="11" w16cid:durableId="2089156995">
    <w:abstractNumId w:val="13"/>
  </w:num>
  <w:num w:numId="12" w16cid:durableId="462625485">
    <w:abstractNumId w:val="30"/>
  </w:num>
  <w:num w:numId="13" w16cid:durableId="741367928">
    <w:abstractNumId w:val="15"/>
  </w:num>
  <w:num w:numId="14" w16cid:durableId="176164484">
    <w:abstractNumId w:val="1"/>
  </w:num>
  <w:num w:numId="15" w16cid:durableId="501287691">
    <w:abstractNumId w:val="23"/>
  </w:num>
  <w:num w:numId="16" w16cid:durableId="192574694">
    <w:abstractNumId w:val="34"/>
  </w:num>
  <w:num w:numId="17" w16cid:durableId="1730495319">
    <w:abstractNumId w:val="11"/>
  </w:num>
  <w:num w:numId="18" w16cid:durableId="678776922">
    <w:abstractNumId w:val="2"/>
  </w:num>
  <w:num w:numId="19" w16cid:durableId="774904249">
    <w:abstractNumId w:val="28"/>
  </w:num>
  <w:num w:numId="20" w16cid:durableId="306207986">
    <w:abstractNumId w:val="16"/>
  </w:num>
  <w:num w:numId="21" w16cid:durableId="1092355572">
    <w:abstractNumId w:val="10"/>
  </w:num>
  <w:num w:numId="22" w16cid:durableId="766198769">
    <w:abstractNumId w:val="8"/>
  </w:num>
  <w:num w:numId="23" w16cid:durableId="1270620481">
    <w:abstractNumId w:val="29"/>
  </w:num>
  <w:num w:numId="24" w16cid:durableId="1909262735">
    <w:abstractNumId w:val="24"/>
  </w:num>
  <w:num w:numId="25" w16cid:durableId="1392073376">
    <w:abstractNumId w:val="33"/>
  </w:num>
  <w:num w:numId="26" w16cid:durableId="1552499776">
    <w:abstractNumId w:val="6"/>
  </w:num>
  <w:num w:numId="27" w16cid:durableId="1143499211">
    <w:abstractNumId w:val="26"/>
  </w:num>
  <w:num w:numId="28" w16cid:durableId="900822930">
    <w:abstractNumId w:val="32"/>
  </w:num>
  <w:num w:numId="29" w16cid:durableId="1737623181">
    <w:abstractNumId w:val="3"/>
  </w:num>
  <w:num w:numId="30" w16cid:durableId="1361591840">
    <w:abstractNumId w:val="19"/>
  </w:num>
  <w:num w:numId="31" w16cid:durableId="877930877">
    <w:abstractNumId w:val="20"/>
  </w:num>
  <w:num w:numId="32" w16cid:durableId="1253276333">
    <w:abstractNumId w:val="5"/>
  </w:num>
  <w:num w:numId="33" w16cid:durableId="230191071">
    <w:abstractNumId w:val="35"/>
  </w:num>
  <w:num w:numId="34" w16cid:durableId="1638604626">
    <w:abstractNumId w:val="25"/>
  </w:num>
  <w:num w:numId="35" w16cid:durableId="428620271">
    <w:abstractNumId w:val="21"/>
  </w:num>
  <w:num w:numId="36" w16cid:durableId="1404453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29"/>
    <w:rsid w:val="00095A57"/>
    <w:rsid w:val="000C0E19"/>
    <w:rsid w:val="000E1060"/>
    <w:rsid w:val="00110745"/>
    <w:rsid w:val="001240A9"/>
    <w:rsid w:val="001A4CEF"/>
    <w:rsid w:val="001F7B19"/>
    <w:rsid w:val="00230B3F"/>
    <w:rsid w:val="00245788"/>
    <w:rsid w:val="003378BB"/>
    <w:rsid w:val="00477029"/>
    <w:rsid w:val="004B2A12"/>
    <w:rsid w:val="00523DC8"/>
    <w:rsid w:val="00525755"/>
    <w:rsid w:val="00542125"/>
    <w:rsid w:val="00613C4F"/>
    <w:rsid w:val="00730C3C"/>
    <w:rsid w:val="00740898"/>
    <w:rsid w:val="00795EFB"/>
    <w:rsid w:val="007A7901"/>
    <w:rsid w:val="007D1F3B"/>
    <w:rsid w:val="009E4AF9"/>
    <w:rsid w:val="00A44616"/>
    <w:rsid w:val="00B03C3C"/>
    <w:rsid w:val="00B13129"/>
    <w:rsid w:val="00C70303"/>
    <w:rsid w:val="00CD5999"/>
    <w:rsid w:val="00D576C1"/>
    <w:rsid w:val="00E01E18"/>
    <w:rsid w:val="00F17F52"/>
    <w:rsid w:val="00F3051C"/>
    <w:rsid w:val="00FD1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C9413"/>
  <w15:chartTrackingRefBased/>
  <w15:docId w15:val="{376AD4BF-D304-4CF5-9BE3-7A37EBE3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1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1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1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1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1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1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1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1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1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1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1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1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1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1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129"/>
    <w:rPr>
      <w:rFonts w:eastAsiaTheme="majorEastAsia" w:cstheme="majorBidi"/>
      <w:color w:val="272727" w:themeColor="text1" w:themeTint="D8"/>
    </w:rPr>
  </w:style>
  <w:style w:type="paragraph" w:styleId="Title">
    <w:name w:val="Title"/>
    <w:basedOn w:val="Normal"/>
    <w:next w:val="Normal"/>
    <w:link w:val="TitleChar"/>
    <w:uiPriority w:val="10"/>
    <w:qFormat/>
    <w:rsid w:val="00B13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129"/>
    <w:pPr>
      <w:spacing w:before="160"/>
      <w:jc w:val="center"/>
    </w:pPr>
    <w:rPr>
      <w:i/>
      <w:iCs/>
      <w:color w:val="404040" w:themeColor="text1" w:themeTint="BF"/>
    </w:rPr>
  </w:style>
  <w:style w:type="character" w:customStyle="1" w:styleId="QuoteChar">
    <w:name w:val="Quote Char"/>
    <w:basedOn w:val="DefaultParagraphFont"/>
    <w:link w:val="Quote"/>
    <w:uiPriority w:val="29"/>
    <w:rsid w:val="00B13129"/>
    <w:rPr>
      <w:i/>
      <w:iCs/>
      <w:color w:val="404040" w:themeColor="text1" w:themeTint="BF"/>
    </w:rPr>
  </w:style>
  <w:style w:type="paragraph" w:styleId="ListParagraph">
    <w:name w:val="List Paragraph"/>
    <w:basedOn w:val="Normal"/>
    <w:uiPriority w:val="34"/>
    <w:qFormat/>
    <w:rsid w:val="00B13129"/>
    <w:pPr>
      <w:ind w:left="720"/>
      <w:contextualSpacing/>
    </w:pPr>
  </w:style>
  <w:style w:type="character" w:styleId="IntenseEmphasis">
    <w:name w:val="Intense Emphasis"/>
    <w:basedOn w:val="DefaultParagraphFont"/>
    <w:uiPriority w:val="21"/>
    <w:qFormat/>
    <w:rsid w:val="00B13129"/>
    <w:rPr>
      <w:i/>
      <w:iCs/>
      <w:color w:val="0F4761" w:themeColor="accent1" w:themeShade="BF"/>
    </w:rPr>
  </w:style>
  <w:style w:type="paragraph" w:styleId="IntenseQuote">
    <w:name w:val="Intense Quote"/>
    <w:basedOn w:val="Normal"/>
    <w:next w:val="Normal"/>
    <w:link w:val="IntenseQuoteChar"/>
    <w:uiPriority w:val="30"/>
    <w:qFormat/>
    <w:rsid w:val="00B131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129"/>
    <w:rPr>
      <w:i/>
      <w:iCs/>
      <w:color w:val="0F4761" w:themeColor="accent1" w:themeShade="BF"/>
    </w:rPr>
  </w:style>
  <w:style w:type="character" w:styleId="IntenseReference">
    <w:name w:val="Intense Reference"/>
    <w:basedOn w:val="DefaultParagraphFont"/>
    <w:uiPriority w:val="32"/>
    <w:qFormat/>
    <w:rsid w:val="00B13129"/>
    <w:rPr>
      <w:b/>
      <w:bCs/>
      <w:smallCaps/>
      <w:color w:val="0F4761" w:themeColor="accent1" w:themeShade="BF"/>
      <w:spacing w:val="5"/>
    </w:rPr>
  </w:style>
  <w:style w:type="character" w:styleId="Hyperlink">
    <w:name w:val="Hyperlink"/>
    <w:basedOn w:val="DefaultParagraphFont"/>
    <w:uiPriority w:val="99"/>
    <w:unhideWhenUsed/>
    <w:rsid w:val="00B13129"/>
    <w:rPr>
      <w:color w:val="467886" w:themeColor="hyperlink"/>
      <w:u w:val="single"/>
    </w:rPr>
  </w:style>
  <w:style w:type="character" w:styleId="UnresolvedMention">
    <w:name w:val="Unresolved Mention"/>
    <w:basedOn w:val="DefaultParagraphFont"/>
    <w:uiPriority w:val="99"/>
    <w:semiHidden/>
    <w:unhideWhenUsed/>
    <w:rsid w:val="00B13129"/>
    <w:rPr>
      <w:color w:val="605E5C"/>
      <w:shd w:val="clear" w:color="auto" w:fill="E1DFDD"/>
    </w:rPr>
  </w:style>
  <w:style w:type="paragraph" w:styleId="Header">
    <w:name w:val="header"/>
    <w:basedOn w:val="Normal"/>
    <w:link w:val="HeaderChar"/>
    <w:uiPriority w:val="99"/>
    <w:unhideWhenUsed/>
    <w:rsid w:val="001F7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B19"/>
  </w:style>
  <w:style w:type="paragraph" w:styleId="Footer">
    <w:name w:val="footer"/>
    <w:basedOn w:val="Normal"/>
    <w:link w:val="FooterChar"/>
    <w:uiPriority w:val="99"/>
    <w:unhideWhenUsed/>
    <w:rsid w:val="001F7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7095">
      <w:bodyDiv w:val="1"/>
      <w:marLeft w:val="0"/>
      <w:marRight w:val="0"/>
      <w:marTop w:val="0"/>
      <w:marBottom w:val="0"/>
      <w:divBdr>
        <w:top w:val="none" w:sz="0" w:space="0" w:color="auto"/>
        <w:left w:val="none" w:sz="0" w:space="0" w:color="auto"/>
        <w:bottom w:val="none" w:sz="0" w:space="0" w:color="auto"/>
        <w:right w:val="none" w:sz="0" w:space="0" w:color="auto"/>
      </w:divBdr>
    </w:div>
    <w:div w:id="691802502">
      <w:bodyDiv w:val="1"/>
      <w:marLeft w:val="0"/>
      <w:marRight w:val="0"/>
      <w:marTop w:val="0"/>
      <w:marBottom w:val="0"/>
      <w:divBdr>
        <w:top w:val="none" w:sz="0" w:space="0" w:color="auto"/>
        <w:left w:val="none" w:sz="0" w:space="0" w:color="auto"/>
        <w:bottom w:val="none" w:sz="0" w:space="0" w:color="auto"/>
        <w:right w:val="none" w:sz="0" w:space="0" w:color="auto"/>
      </w:divBdr>
    </w:div>
    <w:div w:id="881017649">
      <w:bodyDiv w:val="1"/>
      <w:marLeft w:val="0"/>
      <w:marRight w:val="0"/>
      <w:marTop w:val="0"/>
      <w:marBottom w:val="0"/>
      <w:divBdr>
        <w:top w:val="none" w:sz="0" w:space="0" w:color="auto"/>
        <w:left w:val="none" w:sz="0" w:space="0" w:color="auto"/>
        <w:bottom w:val="none" w:sz="0" w:space="0" w:color="auto"/>
        <w:right w:val="none" w:sz="0" w:space="0" w:color="auto"/>
      </w:divBdr>
    </w:div>
    <w:div w:id="1587688335">
      <w:bodyDiv w:val="1"/>
      <w:marLeft w:val="0"/>
      <w:marRight w:val="0"/>
      <w:marTop w:val="0"/>
      <w:marBottom w:val="0"/>
      <w:divBdr>
        <w:top w:val="none" w:sz="0" w:space="0" w:color="auto"/>
        <w:left w:val="none" w:sz="0" w:space="0" w:color="auto"/>
        <w:bottom w:val="none" w:sz="0" w:space="0" w:color="auto"/>
        <w:right w:val="none" w:sz="0" w:space="0" w:color="auto"/>
      </w:divBdr>
    </w:div>
    <w:div w:id="1790589743">
      <w:bodyDiv w:val="1"/>
      <w:marLeft w:val="0"/>
      <w:marRight w:val="0"/>
      <w:marTop w:val="0"/>
      <w:marBottom w:val="0"/>
      <w:divBdr>
        <w:top w:val="none" w:sz="0" w:space="0" w:color="auto"/>
        <w:left w:val="none" w:sz="0" w:space="0" w:color="auto"/>
        <w:bottom w:val="none" w:sz="0" w:space="0" w:color="auto"/>
        <w:right w:val="none" w:sz="0" w:space="0" w:color="auto"/>
      </w:divBdr>
    </w:div>
    <w:div w:id="1861315181">
      <w:bodyDiv w:val="1"/>
      <w:marLeft w:val="0"/>
      <w:marRight w:val="0"/>
      <w:marTop w:val="0"/>
      <w:marBottom w:val="0"/>
      <w:divBdr>
        <w:top w:val="none" w:sz="0" w:space="0" w:color="auto"/>
        <w:left w:val="none" w:sz="0" w:space="0" w:color="auto"/>
        <w:bottom w:val="none" w:sz="0" w:space="0" w:color="auto"/>
        <w:right w:val="none" w:sz="0" w:space="0" w:color="auto"/>
      </w:divBdr>
      <w:divsChild>
        <w:div w:id="2093231760">
          <w:marLeft w:val="0"/>
          <w:marRight w:val="0"/>
          <w:marTop w:val="0"/>
          <w:marBottom w:val="0"/>
          <w:divBdr>
            <w:top w:val="none" w:sz="0" w:space="0" w:color="auto"/>
            <w:left w:val="none" w:sz="0" w:space="0" w:color="auto"/>
            <w:bottom w:val="none" w:sz="0" w:space="0" w:color="auto"/>
            <w:right w:val="none" w:sz="0" w:space="0" w:color="auto"/>
          </w:divBdr>
        </w:div>
        <w:div w:id="684213926">
          <w:marLeft w:val="0"/>
          <w:marRight w:val="0"/>
          <w:marTop w:val="0"/>
          <w:marBottom w:val="0"/>
          <w:divBdr>
            <w:top w:val="none" w:sz="0" w:space="0" w:color="auto"/>
            <w:left w:val="none" w:sz="0" w:space="0" w:color="auto"/>
            <w:bottom w:val="none" w:sz="0" w:space="0" w:color="auto"/>
            <w:right w:val="none" w:sz="0" w:space="0" w:color="auto"/>
          </w:divBdr>
        </w:div>
      </w:divsChild>
    </w:div>
    <w:div w:id="1913658294">
      <w:bodyDiv w:val="1"/>
      <w:marLeft w:val="0"/>
      <w:marRight w:val="0"/>
      <w:marTop w:val="0"/>
      <w:marBottom w:val="0"/>
      <w:divBdr>
        <w:top w:val="none" w:sz="0" w:space="0" w:color="auto"/>
        <w:left w:val="none" w:sz="0" w:space="0" w:color="auto"/>
        <w:bottom w:val="none" w:sz="0" w:space="0" w:color="auto"/>
        <w:right w:val="none" w:sz="0" w:space="0" w:color="auto"/>
      </w:divBdr>
      <w:divsChild>
        <w:div w:id="1800301359">
          <w:marLeft w:val="0"/>
          <w:marRight w:val="0"/>
          <w:marTop w:val="0"/>
          <w:marBottom w:val="0"/>
          <w:divBdr>
            <w:top w:val="none" w:sz="0" w:space="0" w:color="auto"/>
            <w:left w:val="none" w:sz="0" w:space="0" w:color="auto"/>
            <w:bottom w:val="none" w:sz="0" w:space="0" w:color="auto"/>
            <w:right w:val="none" w:sz="0" w:space="0" w:color="auto"/>
          </w:divBdr>
        </w:div>
        <w:div w:id="2072576755">
          <w:marLeft w:val="0"/>
          <w:marRight w:val="0"/>
          <w:marTop w:val="0"/>
          <w:marBottom w:val="0"/>
          <w:divBdr>
            <w:top w:val="none" w:sz="0" w:space="0" w:color="auto"/>
            <w:left w:val="none" w:sz="0" w:space="0" w:color="auto"/>
            <w:bottom w:val="none" w:sz="0" w:space="0" w:color="auto"/>
            <w:right w:val="none" w:sz="0" w:space="0" w:color="auto"/>
          </w:divBdr>
        </w:div>
      </w:divsChild>
    </w:div>
    <w:div w:id="2014839900">
      <w:bodyDiv w:val="1"/>
      <w:marLeft w:val="0"/>
      <w:marRight w:val="0"/>
      <w:marTop w:val="0"/>
      <w:marBottom w:val="0"/>
      <w:divBdr>
        <w:top w:val="none" w:sz="0" w:space="0" w:color="auto"/>
        <w:left w:val="none" w:sz="0" w:space="0" w:color="auto"/>
        <w:bottom w:val="none" w:sz="0" w:space="0" w:color="auto"/>
        <w:right w:val="none" w:sz="0" w:space="0" w:color="auto"/>
      </w:divBdr>
    </w:div>
    <w:div w:id="205981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bed-closure-test/" TargetMode="External"/><Relationship Id="rId13" Type="http://schemas.openxmlformats.org/officeDocument/2006/relationships/hyperlink" Target="mailto:ddicb.engagement@nhs.ne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gland.nhs.uk/publication/nhs-service-change-four-tests/" TargetMode="External"/><Relationship Id="rId12" Type="http://schemas.openxmlformats.org/officeDocument/2006/relationships/hyperlink" Target="mailto:fiona.ireson@nhs.n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tunstall@nhs.net" TargetMode="External"/><Relationship Id="rId5" Type="http://schemas.openxmlformats.org/officeDocument/2006/relationships/footnotes" Target="footnotes.xml"/><Relationship Id="rId15" Type="http://schemas.openxmlformats.org/officeDocument/2006/relationships/hyperlink" Target="https://joinedupcarederbyshire.co.uk/download/clinical-senate-guidance/" TargetMode="External"/><Relationship Id="rId10" Type="http://schemas.openxmlformats.org/officeDocument/2006/relationships/hyperlink" Target="https://www.england.nhs.uk/long-read/service-reconfiguration/" TargetMode="External"/><Relationship Id="rId4" Type="http://schemas.openxmlformats.org/officeDocument/2006/relationships/webSettings" Target="webSettings.xml"/><Relationship Id="rId9" Type="http://schemas.openxmlformats.org/officeDocument/2006/relationships/hyperlink" Target="https://www.england.nhs.uk/about/equality/equality-hub/legal-duties/" TargetMode="External"/><Relationship Id="rId14" Type="http://schemas.openxmlformats.org/officeDocument/2006/relationships/hyperlink" Target="https://joinedupcarederbyshire.co.uk/download/notifying-and-requesting-a-call-in-by-the-of-secretary-stat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Hannah (NHS DERBY AND DERBYSHIRE ICB - 15M)</dc:creator>
  <cp:keywords/>
  <dc:description/>
  <cp:lastModifiedBy>STUART, Mark (NHS DERBY AND DERBYSHIRE ICB - 15M)</cp:lastModifiedBy>
  <cp:revision>4</cp:revision>
  <dcterms:created xsi:type="dcterms:W3CDTF">2025-06-23T10:20:00Z</dcterms:created>
  <dcterms:modified xsi:type="dcterms:W3CDTF">2025-08-15T09:13:00Z</dcterms:modified>
</cp:coreProperties>
</file>