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B1CBE" w14:textId="77777777" w:rsidR="00F60DD0" w:rsidRDefault="00F60DD0">
      <w:pPr>
        <w:rPr>
          <w:rFonts w:ascii="Arial" w:hAnsi="Arial" w:cs="Arial"/>
          <w:b/>
          <w:bCs/>
          <w:color w:val="005EB8"/>
          <w:sz w:val="28"/>
          <w:szCs w:val="28"/>
        </w:rPr>
      </w:pPr>
      <w:r>
        <w:rPr>
          <w:rFonts w:ascii="Arial" w:hAnsi="Arial" w:cs="Arial"/>
          <w:b/>
          <w:bCs/>
          <w:sz w:val="28"/>
          <w:szCs w:val="28"/>
        </w:rPr>
        <w:br/>
      </w:r>
    </w:p>
    <w:p w14:paraId="356832FE" w14:textId="5532DE68" w:rsidR="008A0D97" w:rsidRDefault="00895D07">
      <w:pPr>
        <w:rPr>
          <w:rFonts w:ascii="Arial" w:hAnsi="Arial" w:cs="Arial"/>
          <w:b/>
          <w:bCs/>
          <w:sz w:val="28"/>
          <w:szCs w:val="28"/>
        </w:rPr>
      </w:pPr>
      <w:r w:rsidRPr="00F60DD0">
        <w:rPr>
          <w:rFonts w:ascii="Arial" w:hAnsi="Arial" w:cs="Arial"/>
          <w:b/>
          <w:bCs/>
          <w:color w:val="005EB8"/>
          <w:sz w:val="28"/>
          <w:szCs w:val="28"/>
        </w:rPr>
        <w:t>Patient and Public Involvement (</w:t>
      </w:r>
      <w:r w:rsidR="00F86054" w:rsidRPr="00F60DD0">
        <w:rPr>
          <w:rFonts w:ascii="Arial" w:hAnsi="Arial" w:cs="Arial"/>
          <w:b/>
          <w:bCs/>
          <w:color w:val="005EB8"/>
          <w:sz w:val="28"/>
          <w:szCs w:val="28"/>
        </w:rPr>
        <w:t>PPI</w:t>
      </w:r>
      <w:r w:rsidRPr="00F60DD0">
        <w:rPr>
          <w:rFonts w:ascii="Arial" w:hAnsi="Arial" w:cs="Arial"/>
          <w:b/>
          <w:bCs/>
          <w:color w:val="005EB8"/>
          <w:sz w:val="28"/>
          <w:szCs w:val="28"/>
        </w:rPr>
        <w:t>)</w:t>
      </w:r>
      <w:r w:rsidR="00F86054" w:rsidRPr="00F60DD0">
        <w:rPr>
          <w:rFonts w:ascii="Arial" w:hAnsi="Arial" w:cs="Arial"/>
          <w:b/>
          <w:bCs/>
          <w:color w:val="005EB8"/>
          <w:sz w:val="28"/>
          <w:szCs w:val="28"/>
        </w:rPr>
        <w:t xml:space="preserve"> Form Guidance</w:t>
      </w:r>
    </w:p>
    <w:p w14:paraId="0D7D80EE" w14:textId="437DA855" w:rsidR="0007688B" w:rsidRPr="00F60DD0" w:rsidRDefault="0007688B">
      <w:pPr>
        <w:rPr>
          <w:rFonts w:ascii="Arial" w:hAnsi="Arial" w:cs="Arial"/>
          <w:b/>
          <w:bCs/>
        </w:rPr>
      </w:pPr>
      <w:r w:rsidRPr="00F60DD0">
        <w:rPr>
          <w:rFonts w:ascii="Arial" w:hAnsi="Arial" w:cs="Arial"/>
          <w:b/>
          <w:bCs/>
        </w:rPr>
        <w:t>What is the PPI Form?</w:t>
      </w:r>
    </w:p>
    <w:p w14:paraId="4415D352" w14:textId="1E0017AD" w:rsidR="00895D07" w:rsidRPr="00F60DD0" w:rsidRDefault="00606A09">
      <w:pPr>
        <w:rPr>
          <w:rFonts w:ascii="Arial" w:hAnsi="Arial" w:cs="Arial"/>
        </w:rPr>
      </w:pPr>
      <w:r w:rsidRPr="00F60DD0">
        <w:rPr>
          <w:rFonts w:ascii="Arial" w:hAnsi="Arial" w:cs="Arial"/>
        </w:rPr>
        <w:t xml:space="preserve">The PPI Form is a tool </w:t>
      </w:r>
      <w:r w:rsidR="008B3DC6" w:rsidRPr="00F60DD0">
        <w:rPr>
          <w:rFonts w:ascii="Arial" w:hAnsi="Arial" w:cs="Arial"/>
        </w:rPr>
        <w:t xml:space="preserve">used </w:t>
      </w:r>
      <w:r w:rsidRPr="00F60DD0">
        <w:rPr>
          <w:rFonts w:ascii="Arial" w:hAnsi="Arial" w:cs="Arial"/>
        </w:rPr>
        <w:t xml:space="preserve">to record that commissioners of health services have </w:t>
      </w:r>
      <w:r w:rsidR="008B3DC6" w:rsidRPr="00F60DD0">
        <w:rPr>
          <w:rFonts w:ascii="Arial" w:hAnsi="Arial" w:cs="Arial"/>
        </w:rPr>
        <w:t>fully</w:t>
      </w:r>
      <w:r w:rsidRPr="00F60DD0">
        <w:rPr>
          <w:rFonts w:ascii="Arial" w:hAnsi="Arial" w:cs="Arial"/>
        </w:rPr>
        <w:t xml:space="preserve"> assessed whether the legal duty to inform, involve or consult individuals to whom the services are being or may be provided, and their carers and representatives</w:t>
      </w:r>
      <w:r w:rsidR="00F60DD0" w:rsidRPr="00F60DD0">
        <w:rPr>
          <w:rFonts w:ascii="Arial" w:hAnsi="Arial" w:cs="Arial"/>
        </w:rPr>
        <w:t>,</w:t>
      </w:r>
      <w:r w:rsidR="00AB24AD" w:rsidRPr="00F60DD0">
        <w:rPr>
          <w:rFonts w:ascii="Arial" w:hAnsi="Arial" w:cs="Arial"/>
        </w:rPr>
        <w:t xml:space="preserve"> has been considered</w:t>
      </w:r>
      <w:r w:rsidRPr="00F60DD0">
        <w:rPr>
          <w:rFonts w:ascii="Arial" w:hAnsi="Arial" w:cs="Arial"/>
        </w:rPr>
        <w:t>.</w:t>
      </w:r>
    </w:p>
    <w:p w14:paraId="6EEA7715" w14:textId="43126939" w:rsidR="00F514B3" w:rsidRPr="00F60DD0" w:rsidRDefault="00F514B3">
      <w:pPr>
        <w:rPr>
          <w:rFonts w:ascii="Arial" w:hAnsi="Arial" w:cs="Arial"/>
        </w:rPr>
      </w:pPr>
      <w:r w:rsidRPr="00F60DD0">
        <w:rPr>
          <w:rFonts w:ascii="Arial" w:hAnsi="Arial" w:cs="Arial"/>
        </w:rPr>
        <w:t xml:space="preserve">The most up to date PPI form can always be found </w:t>
      </w:r>
      <w:hyperlink r:id="rId8" w:history="1">
        <w:r w:rsidRPr="00F60DD0">
          <w:rPr>
            <w:rStyle w:val="Hyperlink"/>
            <w:rFonts w:ascii="Arial" w:hAnsi="Arial" w:cs="Arial"/>
          </w:rPr>
          <w:t>here</w:t>
        </w:r>
      </w:hyperlink>
      <w:r w:rsidRPr="00F60DD0">
        <w:rPr>
          <w:rFonts w:ascii="Arial" w:hAnsi="Arial" w:cs="Arial"/>
        </w:rPr>
        <w:t>.</w:t>
      </w:r>
    </w:p>
    <w:p w14:paraId="66AFD274" w14:textId="7F33A3B1" w:rsidR="0003635D" w:rsidRPr="00F60DD0" w:rsidRDefault="0003635D">
      <w:pPr>
        <w:rPr>
          <w:rFonts w:ascii="Arial" w:hAnsi="Arial" w:cs="Arial"/>
          <w:b/>
          <w:bCs/>
        </w:rPr>
      </w:pPr>
      <w:r w:rsidRPr="00F60DD0">
        <w:rPr>
          <w:rFonts w:ascii="Arial" w:hAnsi="Arial" w:cs="Arial"/>
          <w:b/>
          <w:bCs/>
        </w:rPr>
        <w:t>Legal Duty</w:t>
      </w:r>
    </w:p>
    <w:p w14:paraId="670CAFA1" w14:textId="4ABD208E" w:rsidR="00CA286B" w:rsidRPr="00F60DD0" w:rsidRDefault="00CA286B">
      <w:pPr>
        <w:rPr>
          <w:rFonts w:ascii="Arial" w:hAnsi="Arial" w:cs="Arial"/>
        </w:rPr>
      </w:pPr>
      <w:r w:rsidRPr="00F60DD0">
        <w:rPr>
          <w:rFonts w:ascii="Arial" w:hAnsi="Arial" w:cs="Arial"/>
        </w:rPr>
        <w:t>NHS</w:t>
      </w:r>
      <w:r w:rsidR="00B70C9F" w:rsidRPr="00F60DD0">
        <w:rPr>
          <w:rFonts w:ascii="Arial" w:hAnsi="Arial" w:cs="Arial"/>
        </w:rPr>
        <w:t xml:space="preserve"> </w:t>
      </w:r>
      <w:r w:rsidRPr="00F60DD0">
        <w:rPr>
          <w:rFonts w:ascii="Arial" w:hAnsi="Arial" w:cs="Arial"/>
        </w:rPr>
        <w:t xml:space="preserve">commissioning organisations have a legal duty to ‘make arrangements’ to secure that individuals to whom services are being or may be provided </w:t>
      </w:r>
      <w:r w:rsidRPr="00F60DD0">
        <w:rPr>
          <w:rFonts w:ascii="Arial" w:hAnsi="Arial" w:cs="Arial"/>
          <w:b/>
          <w:bCs/>
        </w:rPr>
        <w:t>and their carers/representatives</w:t>
      </w:r>
      <w:r w:rsidRPr="00F60DD0">
        <w:rPr>
          <w:rFonts w:ascii="Arial" w:hAnsi="Arial" w:cs="Arial"/>
        </w:rPr>
        <w:t xml:space="preserve"> are involved when commissioning services for NHS patients. </w:t>
      </w:r>
    </w:p>
    <w:p w14:paraId="3705F6D2" w14:textId="77777777" w:rsidR="00B70C9F" w:rsidRPr="00F60DD0" w:rsidRDefault="00B70C9F" w:rsidP="00B70C9F">
      <w:pPr>
        <w:pStyle w:val="NormalWeb"/>
        <w:shd w:val="clear" w:color="auto" w:fill="FFFFFF"/>
        <w:spacing w:before="0" w:beforeAutospacing="0" w:after="225" w:afterAutospacing="0"/>
        <w:textAlignment w:val="baseline"/>
        <w:rPr>
          <w:rFonts w:ascii="Arial" w:hAnsi="Arial" w:cs="Arial"/>
          <w:color w:val="202A30"/>
          <w:sz w:val="22"/>
          <w:szCs w:val="22"/>
        </w:rPr>
      </w:pPr>
      <w:r w:rsidRPr="00F60DD0">
        <w:rPr>
          <w:rFonts w:ascii="Arial" w:hAnsi="Arial" w:cs="Arial"/>
          <w:color w:val="202A30"/>
          <w:sz w:val="22"/>
          <w:szCs w:val="22"/>
        </w:rPr>
        <w:t>The main duties on NHS bodies to make arrangements to involve the public are all set out in the National Health Services Act 2006, as amended by the Health and Care Act 2022.</w:t>
      </w:r>
    </w:p>
    <w:p w14:paraId="7ADAA7BC" w14:textId="77777777" w:rsidR="00B70C9F" w:rsidRPr="00F60DD0" w:rsidRDefault="00B70C9F" w:rsidP="00B70C9F">
      <w:pPr>
        <w:pStyle w:val="NormalWeb"/>
        <w:shd w:val="clear" w:color="auto" w:fill="FFFFFF"/>
        <w:spacing w:before="0" w:beforeAutospacing="0" w:after="225" w:afterAutospacing="0"/>
        <w:textAlignment w:val="baseline"/>
        <w:rPr>
          <w:rFonts w:ascii="Arial" w:hAnsi="Arial" w:cs="Arial"/>
          <w:color w:val="202A30"/>
          <w:sz w:val="22"/>
          <w:szCs w:val="22"/>
        </w:rPr>
      </w:pPr>
      <w:r w:rsidRPr="00F60DD0">
        <w:rPr>
          <w:rFonts w:ascii="Arial" w:hAnsi="Arial" w:cs="Arial"/>
          <w:color w:val="202A30"/>
          <w:sz w:val="22"/>
          <w:szCs w:val="22"/>
        </w:rPr>
        <w:t>You can find the relevant sections of the legislation below:</w:t>
      </w:r>
    </w:p>
    <w:p w14:paraId="3161C225" w14:textId="77777777" w:rsidR="00B70C9F" w:rsidRPr="00F60DD0" w:rsidRDefault="00B70C9F" w:rsidP="00B70C9F">
      <w:pPr>
        <w:numPr>
          <w:ilvl w:val="0"/>
          <w:numId w:val="12"/>
        </w:numPr>
        <w:shd w:val="clear" w:color="auto" w:fill="FFFFFF"/>
        <w:spacing w:after="0" w:line="240" w:lineRule="auto"/>
        <w:textAlignment w:val="baseline"/>
        <w:rPr>
          <w:rFonts w:ascii="Arial" w:hAnsi="Arial" w:cs="Arial"/>
        </w:rPr>
      </w:pPr>
      <w:hyperlink r:id="rId9" w:history="1">
        <w:r w:rsidRPr="00F60DD0">
          <w:rPr>
            <w:rStyle w:val="Hyperlink"/>
            <w:rFonts w:ascii="Arial" w:hAnsi="Arial" w:cs="Arial"/>
            <w:color w:val="005EB8"/>
            <w:bdr w:val="none" w:sz="0" w:space="0" w:color="auto" w:frame="1"/>
          </w:rPr>
          <w:t>section 13Q for NHS England</w:t>
        </w:r>
      </w:hyperlink>
    </w:p>
    <w:p w14:paraId="0E61E02F" w14:textId="35AF8EE1" w:rsidR="00B70C9F" w:rsidRPr="00F60DD0" w:rsidRDefault="00B70C9F" w:rsidP="00B70C9F">
      <w:pPr>
        <w:numPr>
          <w:ilvl w:val="0"/>
          <w:numId w:val="12"/>
        </w:numPr>
        <w:shd w:val="clear" w:color="auto" w:fill="FFFFFF"/>
        <w:spacing w:after="0" w:line="240" w:lineRule="auto"/>
        <w:textAlignment w:val="baseline"/>
        <w:rPr>
          <w:rFonts w:ascii="Arial" w:hAnsi="Arial" w:cs="Arial"/>
          <w:color w:val="005EB8"/>
        </w:rPr>
      </w:pPr>
      <w:hyperlink r:id="rId10" w:history="1">
        <w:r w:rsidRPr="00F60DD0">
          <w:rPr>
            <w:rStyle w:val="Hyperlink"/>
            <w:rFonts w:ascii="Arial" w:hAnsi="Arial" w:cs="Arial"/>
            <w:color w:val="005EB8"/>
            <w:bdr w:val="none" w:sz="0" w:space="0" w:color="auto" w:frame="1"/>
          </w:rPr>
          <w:t xml:space="preserve">section 14Z45 for </w:t>
        </w:r>
        <w:r w:rsidR="00F60DD0" w:rsidRPr="00F60DD0">
          <w:rPr>
            <w:rStyle w:val="Hyperlink"/>
            <w:rFonts w:ascii="Arial" w:hAnsi="Arial" w:cs="Arial"/>
            <w:color w:val="005EB8"/>
            <w:bdr w:val="none" w:sz="0" w:space="0" w:color="auto" w:frame="1"/>
          </w:rPr>
          <w:t>I</w:t>
        </w:r>
        <w:r w:rsidRPr="00F60DD0">
          <w:rPr>
            <w:rStyle w:val="Hyperlink"/>
            <w:rFonts w:ascii="Arial" w:hAnsi="Arial" w:cs="Arial"/>
            <w:color w:val="005EB8"/>
            <w:bdr w:val="none" w:sz="0" w:space="0" w:color="auto" w:frame="1"/>
          </w:rPr>
          <w:t xml:space="preserve">ntegrated </w:t>
        </w:r>
        <w:r w:rsidR="00F60DD0" w:rsidRPr="00F60DD0">
          <w:rPr>
            <w:rStyle w:val="Hyperlink"/>
            <w:rFonts w:ascii="Arial" w:hAnsi="Arial" w:cs="Arial"/>
            <w:color w:val="005EB8"/>
            <w:bdr w:val="none" w:sz="0" w:space="0" w:color="auto" w:frame="1"/>
          </w:rPr>
          <w:t>C</w:t>
        </w:r>
        <w:r w:rsidRPr="00F60DD0">
          <w:rPr>
            <w:rStyle w:val="Hyperlink"/>
            <w:rFonts w:ascii="Arial" w:hAnsi="Arial" w:cs="Arial"/>
            <w:color w:val="005EB8"/>
            <w:bdr w:val="none" w:sz="0" w:space="0" w:color="auto" w:frame="1"/>
          </w:rPr>
          <w:t xml:space="preserve">are </w:t>
        </w:r>
        <w:r w:rsidR="00F60DD0" w:rsidRPr="00F60DD0">
          <w:rPr>
            <w:rStyle w:val="Hyperlink"/>
            <w:rFonts w:ascii="Arial" w:hAnsi="Arial" w:cs="Arial"/>
            <w:color w:val="005EB8"/>
            <w:bdr w:val="none" w:sz="0" w:space="0" w:color="auto" w:frame="1"/>
          </w:rPr>
          <w:t>B</w:t>
        </w:r>
        <w:r w:rsidRPr="00F60DD0">
          <w:rPr>
            <w:rStyle w:val="Hyperlink"/>
            <w:rFonts w:ascii="Arial" w:hAnsi="Arial" w:cs="Arial"/>
            <w:color w:val="005EB8"/>
            <w:bdr w:val="none" w:sz="0" w:space="0" w:color="auto" w:frame="1"/>
          </w:rPr>
          <w:t>oards</w:t>
        </w:r>
      </w:hyperlink>
      <w:r w:rsidR="008D3780" w:rsidRPr="00F60DD0">
        <w:rPr>
          <w:rStyle w:val="Hyperlink"/>
          <w:rFonts w:ascii="Arial" w:hAnsi="Arial" w:cs="Arial"/>
          <w:color w:val="005EB8"/>
          <w:bdr w:val="none" w:sz="0" w:space="0" w:color="auto" w:frame="1"/>
        </w:rPr>
        <w:t xml:space="preserve"> (ICBs)</w:t>
      </w:r>
    </w:p>
    <w:p w14:paraId="5BE21D46" w14:textId="2B091A64" w:rsidR="00B70C9F" w:rsidRPr="00F60DD0" w:rsidRDefault="00B70C9F" w:rsidP="00B70C9F">
      <w:pPr>
        <w:numPr>
          <w:ilvl w:val="0"/>
          <w:numId w:val="12"/>
        </w:numPr>
        <w:shd w:val="clear" w:color="auto" w:fill="FFFFFF"/>
        <w:spacing w:after="0" w:line="240" w:lineRule="auto"/>
        <w:textAlignment w:val="baseline"/>
        <w:rPr>
          <w:rFonts w:ascii="Arial" w:hAnsi="Arial" w:cs="Arial"/>
        </w:rPr>
      </w:pPr>
      <w:hyperlink r:id="rId11" w:history="1">
        <w:r w:rsidRPr="00F60DD0">
          <w:rPr>
            <w:rStyle w:val="Hyperlink"/>
            <w:rFonts w:ascii="Arial" w:hAnsi="Arial" w:cs="Arial"/>
            <w:color w:val="005EB8"/>
            <w:bdr w:val="none" w:sz="0" w:space="0" w:color="auto" w:frame="1"/>
          </w:rPr>
          <w:t>section 242(1B) for NHS trusts and NHS foundation trusts</w:t>
        </w:r>
      </w:hyperlink>
    </w:p>
    <w:p w14:paraId="7D36B68B" w14:textId="77777777" w:rsidR="00B70C9F" w:rsidRPr="00F60DD0" w:rsidRDefault="00B70C9F">
      <w:pPr>
        <w:rPr>
          <w:rFonts w:ascii="Arial" w:hAnsi="Arial" w:cs="Arial"/>
        </w:rPr>
      </w:pPr>
    </w:p>
    <w:p w14:paraId="3698837F" w14:textId="77777777" w:rsidR="00B70C9F" w:rsidRPr="00F60DD0" w:rsidRDefault="00CA286B">
      <w:pPr>
        <w:rPr>
          <w:rFonts w:ascii="Arial" w:hAnsi="Arial" w:cs="Arial"/>
        </w:rPr>
      </w:pPr>
      <w:r w:rsidRPr="00F60DD0">
        <w:rPr>
          <w:rFonts w:ascii="Arial" w:hAnsi="Arial" w:cs="Arial"/>
        </w:rPr>
        <w:t xml:space="preserve">To fulfil the public involvement duty, the arrangements must provide for the public to be involved in: </w:t>
      </w:r>
    </w:p>
    <w:p w14:paraId="359B32F1" w14:textId="5496C1E0" w:rsidR="00CA286B" w:rsidRPr="00F60DD0" w:rsidRDefault="00CA286B">
      <w:pPr>
        <w:rPr>
          <w:rFonts w:ascii="Arial" w:hAnsi="Arial" w:cs="Arial"/>
        </w:rPr>
      </w:pPr>
      <w:r w:rsidRPr="00F60DD0">
        <w:rPr>
          <w:rFonts w:ascii="Arial" w:hAnsi="Arial" w:cs="Arial"/>
        </w:rPr>
        <w:t xml:space="preserve">(a) the planning of services </w:t>
      </w:r>
    </w:p>
    <w:p w14:paraId="3828D873" w14:textId="77777777" w:rsidR="00CA286B" w:rsidRPr="00F60DD0" w:rsidRDefault="00CA286B">
      <w:pPr>
        <w:rPr>
          <w:rFonts w:ascii="Arial" w:hAnsi="Arial" w:cs="Arial"/>
        </w:rPr>
      </w:pPr>
      <w:r w:rsidRPr="00F60DD0">
        <w:rPr>
          <w:rFonts w:ascii="Arial" w:hAnsi="Arial" w:cs="Arial"/>
        </w:rPr>
        <w:t xml:space="preserve">(b) the development and consideration of proposals for changes which, if implemented, would have an impact on the manner or range of services, and </w:t>
      </w:r>
    </w:p>
    <w:p w14:paraId="54A56D77" w14:textId="77777777" w:rsidR="00CA286B" w:rsidRPr="00F60DD0" w:rsidRDefault="00CA286B">
      <w:pPr>
        <w:rPr>
          <w:rFonts w:ascii="Arial" w:hAnsi="Arial" w:cs="Arial"/>
        </w:rPr>
      </w:pPr>
      <w:r w:rsidRPr="00F60DD0">
        <w:rPr>
          <w:rFonts w:ascii="Arial" w:hAnsi="Arial" w:cs="Arial"/>
        </w:rPr>
        <w:t xml:space="preserve">(c) decisions which, when implemented, would have such an impact. </w:t>
      </w:r>
    </w:p>
    <w:p w14:paraId="0592DC92" w14:textId="6AD83B36" w:rsidR="0003635D" w:rsidRPr="00F60DD0" w:rsidRDefault="00CA286B">
      <w:pPr>
        <w:rPr>
          <w:rFonts w:ascii="Arial" w:hAnsi="Arial" w:cs="Arial"/>
        </w:rPr>
      </w:pPr>
      <w:r w:rsidRPr="00F60DD0">
        <w:rPr>
          <w:rFonts w:ascii="Arial" w:hAnsi="Arial" w:cs="Arial"/>
        </w:rPr>
        <w:t xml:space="preserve">More information about the specific legal duties in relation to working in partnership with people and communities can be found in </w:t>
      </w:r>
      <w:hyperlink r:id="rId12" w:anchor="b1-public-involvement-legal-duties" w:history="1">
        <w:r w:rsidRPr="00F60DD0">
          <w:rPr>
            <w:rStyle w:val="Hyperlink"/>
            <w:rFonts w:ascii="Arial" w:hAnsi="Arial" w:cs="Arial"/>
          </w:rPr>
          <w:t>Working in partnership with people and communities: Statutory guidance</w:t>
        </w:r>
      </w:hyperlink>
      <w:r w:rsidRPr="00F60DD0">
        <w:rPr>
          <w:rFonts w:ascii="Arial" w:hAnsi="Arial" w:cs="Arial"/>
        </w:rPr>
        <w:t>.</w:t>
      </w:r>
    </w:p>
    <w:p w14:paraId="12889CFB" w14:textId="39C6A2EB" w:rsidR="00CA286B" w:rsidRPr="00F60DD0" w:rsidRDefault="00CA286B" w:rsidP="00CA286B">
      <w:pPr>
        <w:shd w:val="clear" w:color="auto" w:fill="FFFFFF"/>
        <w:spacing w:after="225" w:line="240" w:lineRule="auto"/>
        <w:textAlignment w:val="baseline"/>
        <w:rPr>
          <w:rFonts w:ascii="Arial" w:eastAsia="Times New Roman" w:hAnsi="Arial" w:cs="Arial"/>
          <w:color w:val="202A30"/>
          <w:lang w:eastAsia="en-GB"/>
        </w:rPr>
      </w:pPr>
      <w:r w:rsidRPr="00F60DD0">
        <w:rPr>
          <w:rFonts w:ascii="Arial" w:eastAsia="Times New Roman" w:hAnsi="Arial" w:cs="Arial"/>
          <w:color w:val="202A30"/>
          <w:lang w:eastAsia="en-GB"/>
        </w:rPr>
        <w:t xml:space="preserve">Key requirements of </w:t>
      </w:r>
      <w:r w:rsidR="002C70A8" w:rsidRPr="00F60DD0">
        <w:rPr>
          <w:rFonts w:ascii="Arial" w:eastAsia="Times New Roman" w:hAnsi="Arial" w:cs="Arial"/>
          <w:color w:val="202A30"/>
          <w:lang w:eastAsia="en-GB"/>
        </w:rPr>
        <w:t xml:space="preserve">NHS England, ICBs, NHS Trusts and NHS Foundation Trusts </w:t>
      </w:r>
      <w:r w:rsidRPr="00F60DD0">
        <w:rPr>
          <w:rFonts w:ascii="Arial" w:eastAsia="Times New Roman" w:hAnsi="Arial" w:cs="Arial"/>
          <w:color w:val="202A30"/>
          <w:lang w:eastAsia="en-GB"/>
        </w:rPr>
        <w:t>include that they:</w:t>
      </w:r>
    </w:p>
    <w:p w14:paraId="1DFAF445" w14:textId="6A6DCAF0" w:rsidR="00CA286B" w:rsidRPr="00F60DD0" w:rsidRDefault="00B70C9F" w:rsidP="00B70C9F">
      <w:pPr>
        <w:numPr>
          <w:ilvl w:val="0"/>
          <w:numId w:val="11"/>
        </w:numPr>
        <w:shd w:val="clear" w:color="auto" w:fill="FFFFFF"/>
        <w:tabs>
          <w:tab w:val="clear" w:pos="720"/>
        </w:tabs>
        <w:spacing w:after="0" w:line="240" w:lineRule="auto"/>
        <w:textAlignment w:val="baseline"/>
        <w:rPr>
          <w:rFonts w:ascii="Arial" w:eastAsia="Times New Roman" w:hAnsi="Arial" w:cs="Arial"/>
          <w:color w:val="202A30"/>
          <w:lang w:eastAsia="en-GB"/>
        </w:rPr>
      </w:pPr>
      <w:r w:rsidRPr="00F60DD0">
        <w:rPr>
          <w:rFonts w:ascii="Arial" w:eastAsia="Times New Roman" w:hAnsi="Arial" w:cs="Arial"/>
          <w:color w:val="202A30"/>
          <w:lang w:eastAsia="en-GB"/>
        </w:rPr>
        <w:t>A</w:t>
      </w:r>
      <w:r w:rsidR="00CA286B" w:rsidRPr="00F60DD0">
        <w:rPr>
          <w:rFonts w:ascii="Arial" w:eastAsia="Times New Roman" w:hAnsi="Arial" w:cs="Arial"/>
          <w:color w:val="202A30"/>
          <w:lang w:eastAsia="en-GB"/>
        </w:rPr>
        <w:t xml:space="preserve">ssess the need for public involvement and plan and </w:t>
      </w:r>
      <w:r w:rsidR="008D3780" w:rsidRPr="00F60DD0">
        <w:rPr>
          <w:rFonts w:ascii="Arial" w:eastAsia="Times New Roman" w:hAnsi="Arial" w:cs="Arial"/>
          <w:color w:val="202A30"/>
          <w:lang w:eastAsia="en-GB"/>
        </w:rPr>
        <w:t>conduct</w:t>
      </w:r>
      <w:r w:rsidR="00CA286B" w:rsidRPr="00F60DD0">
        <w:rPr>
          <w:rFonts w:ascii="Arial" w:eastAsia="Times New Roman" w:hAnsi="Arial" w:cs="Arial"/>
          <w:color w:val="202A30"/>
          <w:lang w:eastAsia="en-GB"/>
        </w:rPr>
        <w:t xml:space="preserve"> involvement activity</w:t>
      </w:r>
      <w:r w:rsidRPr="00F60DD0">
        <w:rPr>
          <w:rFonts w:ascii="Arial" w:eastAsia="Times New Roman" w:hAnsi="Arial" w:cs="Arial"/>
          <w:color w:val="202A30"/>
          <w:lang w:eastAsia="en-GB"/>
        </w:rPr>
        <w:t xml:space="preserve"> – this is done via the PPI Form</w:t>
      </w:r>
    </w:p>
    <w:p w14:paraId="3F79BF8D" w14:textId="391A0126" w:rsidR="00CA286B" w:rsidRPr="00F60DD0" w:rsidRDefault="00B70C9F" w:rsidP="00B70C9F">
      <w:pPr>
        <w:numPr>
          <w:ilvl w:val="0"/>
          <w:numId w:val="11"/>
        </w:numPr>
        <w:shd w:val="clear" w:color="auto" w:fill="FFFFFF"/>
        <w:tabs>
          <w:tab w:val="clear" w:pos="720"/>
        </w:tabs>
        <w:spacing w:after="0" w:line="240" w:lineRule="auto"/>
        <w:textAlignment w:val="baseline"/>
        <w:rPr>
          <w:rFonts w:ascii="Arial" w:eastAsia="Times New Roman" w:hAnsi="Arial" w:cs="Arial"/>
          <w:color w:val="202A30"/>
          <w:lang w:eastAsia="en-GB"/>
        </w:rPr>
      </w:pPr>
      <w:r w:rsidRPr="00F60DD0">
        <w:rPr>
          <w:rFonts w:ascii="Arial" w:eastAsia="Times New Roman" w:hAnsi="Arial" w:cs="Arial"/>
          <w:color w:val="202A30"/>
          <w:lang w:eastAsia="en-GB"/>
        </w:rPr>
        <w:t>C</w:t>
      </w:r>
      <w:r w:rsidR="00CA286B" w:rsidRPr="00F60DD0">
        <w:rPr>
          <w:rFonts w:ascii="Arial" w:eastAsia="Times New Roman" w:hAnsi="Arial" w:cs="Arial"/>
          <w:color w:val="202A30"/>
          <w:lang w:eastAsia="en-GB"/>
        </w:rPr>
        <w:t>learly document at all stages how involvement activity has informed decision-making and the rationale for decisions</w:t>
      </w:r>
    </w:p>
    <w:p w14:paraId="3CB65ED0" w14:textId="18D5D7C1" w:rsidR="00CA286B" w:rsidRPr="00F60DD0" w:rsidRDefault="00B70C9F" w:rsidP="00B70C9F">
      <w:pPr>
        <w:numPr>
          <w:ilvl w:val="0"/>
          <w:numId w:val="11"/>
        </w:numPr>
        <w:shd w:val="clear" w:color="auto" w:fill="FFFFFF"/>
        <w:tabs>
          <w:tab w:val="clear" w:pos="720"/>
        </w:tabs>
        <w:spacing w:after="0" w:line="240" w:lineRule="auto"/>
        <w:textAlignment w:val="baseline"/>
        <w:rPr>
          <w:rFonts w:ascii="Arial" w:eastAsia="Times New Roman" w:hAnsi="Arial" w:cs="Arial"/>
          <w:color w:val="202A30"/>
          <w:lang w:eastAsia="en-GB"/>
        </w:rPr>
      </w:pPr>
      <w:r w:rsidRPr="00F60DD0">
        <w:rPr>
          <w:rFonts w:ascii="Arial" w:eastAsia="Times New Roman" w:hAnsi="Arial" w:cs="Arial"/>
          <w:color w:val="202A30"/>
          <w:lang w:eastAsia="en-GB"/>
        </w:rPr>
        <w:t>H</w:t>
      </w:r>
      <w:r w:rsidR="00CA286B" w:rsidRPr="00F60DD0">
        <w:rPr>
          <w:rFonts w:ascii="Arial" w:eastAsia="Times New Roman" w:hAnsi="Arial" w:cs="Arial"/>
          <w:color w:val="202A30"/>
          <w:lang w:eastAsia="en-GB"/>
        </w:rPr>
        <w:t>ave systems to assure themselves that they are meeting their legal duty to involve</w:t>
      </w:r>
      <w:r w:rsidR="00F60DD0" w:rsidRPr="00F60DD0">
        <w:rPr>
          <w:rFonts w:ascii="Arial" w:eastAsia="Times New Roman" w:hAnsi="Arial" w:cs="Arial"/>
          <w:color w:val="202A30"/>
          <w:lang w:eastAsia="en-GB"/>
        </w:rPr>
        <w:t xml:space="preserve"> –</w:t>
      </w:r>
      <w:r w:rsidRPr="00F60DD0">
        <w:rPr>
          <w:rFonts w:ascii="Arial" w:eastAsia="Times New Roman" w:hAnsi="Arial" w:cs="Arial"/>
          <w:color w:val="202A30"/>
          <w:lang w:eastAsia="en-GB"/>
        </w:rPr>
        <w:t xml:space="preserve"> these systems need to be reported on in annual reports</w:t>
      </w:r>
      <w:r w:rsidR="00CA286B" w:rsidRPr="00F60DD0">
        <w:rPr>
          <w:rFonts w:ascii="Arial" w:eastAsia="Times New Roman" w:hAnsi="Arial" w:cs="Arial"/>
          <w:color w:val="202A30"/>
          <w:lang w:eastAsia="en-GB"/>
        </w:rPr>
        <w:t>.</w:t>
      </w:r>
    </w:p>
    <w:p w14:paraId="13B28904" w14:textId="77777777" w:rsidR="00B70C9F" w:rsidRPr="00F60DD0" w:rsidRDefault="00B70C9F" w:rsidP="00B70C9F">
      <w:pPr>
        <w:shd w:val="clear" w:color="auto" w:fill="FFFFFF"/>
        <w:spacing w:after="0" w:line="240" w:lineRule="auto"/>
        <w:ind w:left="1005"/>
        <w:textAlignment w:val="baseline"/>
        <w:rPr>
          <w:rFonts w:ascii="Arial" w:hAnsi="Arial" w:cs="Arial"/>
          <w:color w:val="202A30"/>
        </w:rPr>
      </w:pPr>
    </w:p>
    <w:p w14:paraId="5F653DC8" w14:textId="5EC2BA70" w:rsidR="00B70C9F" w:rsidRPr="00F60DD0" w:rsidRDefault="00CA286B" w:rsidP="00B70C9F">
      <w:pPr>
        <w:shd w:val="clear" w:color="auto" w:fill="FFFFFF"/>
        <w:spacing w:after="225" w:line="240" w:lineRule="auto"/>
        <w:textAlignment w:val="baseline"/>
        <w:rPr>
          <w:rFonts w:ascii="Arial" w:eastAsia="Times New Roman" w:hAnsi="Arial" w:cs="Arial"/>
          <w:b/>
          <w:bCs/>
          <w:color w:val="202A30"/>
          <w:lang w:eastAsia="en-GB"/>
        </w:rPr>
      </w:pPr>
      <w:r w:rsidRPr="00F60DD0">
        <w:rPr>
          <w:rFonts w:ascii="Arial" w:eastAsia="Times New Roman" w:hAnsi="Arial" w:cs="Arial"/>
          <w:b/>
          <w:bCs/>
          <w:color w:val="202A30"/>
          <w:lang w:eastAsia="en-GB"/>
        </w:rPr>
        <w:t xml:space="preserve">Each </w:t>
      </w:r>
      <w:r w:rsidR="00B70C9F" w:rsidRPr="00F60DD0">
        <w:rPr>
          <w:rFonts w:ascii="Arial" w:eastAsia="Times New Roman" w:hAnsi="Arial" w:cs="Arial"/>
          <w:b/>
          <w:bCs/>
          <w:color w:val="202A30"/>
          <w:lang w:eastAsia="en-GB"/>
        </w:rPr>
        <w:t>organisation, i.e., NHS England, ICBs, NHS Trusts and NHS Foundation Trusts are accountable</w:t>
      </w:r>
      <w:r w:rsidRPr="00F60DD0">
        <w:rPr>
          <w:rFonts w:ascii="Arial" w:eastAsia="Times New Roman" w:hAnsi="Arial" w:cs="Arial"/>
          <w:b/>
          <w:bCs/>
          <w:color w:val="202A30"/>
          <w:lang w:eastAsia="en-GB"/>
        </w:rPr>
        <w:t xml:space="preserve"> and liable for compliance with their public involvement obligations. </w:t>
      </w:r>
    </w:p>
    <w:p w14:paraId="42DB7CB1" w14:textId="77777777" w:rsidR="00F60DD0" w:rsidRDefault="00F60DD0" w:rsidP="00B70C9F">
      <w:pPr>
        <w:shd w:val="clear" w:color="auto" w:fill="FFFFFF"/>
        <w:spacing w:after="225" w:line="240" w:lineRule="auto"/>
        <w:textAlignment w:val="baseline"/>
        <w:rPr>
          <w:rFonts w:ascii="Arial" w:eastAsia="Times New Roman" w:hAnsi="Arial" w:cs="Arial"/>
          <w:color w:val="202A30"/>
          <w:lang w:eastAsia="en-GB"/>
        </w:rPr>
      </w:pPr>
    </w:p>
    <w:p w14:paraId="7C1559B1" w14:textId="77777777" w:rsidR="00AC5D17" w:rsidRDefault="00AC5D17" w:rsidP="00F60DD0">
      <w:pPr>
        <w:shd w:val="clear" w:color="auto" w:fill="FFFFFF"/>
        <w:spacing w:after="225" w:line="240" w:lineRule="auto"/>
        <w:textAlignment w:val="baseline"/>
        <w:rPr>
          <w:rFonts w:ascii="Arial" w:eastAsia="Times New Roman" w:hAnsi="Arial" w:cs="Arial"/>
          <w:color w:val="202A30"/>
          <w:lang w:eastAsia="en-GB"/>
        </w:rPr>
      </w:pPr>
    </w:p>
    <w:p w14:paraId="6D7E6E1B" w14:textId="77777777" w:rsidR="00AC5D17" w:rsidRDefault="00AC5D17" w:rsidP="00F60DD0">
      <w:pPr>
        <w:shd w:val="clear" w:color="auto" w:fill="FFFFFF"/>
        <w:spacing w:after="225" w:line="240" w:lineRule="auto"/>
        <w:textAlignment w:val="baseline"/>
        <w:rPr>
          <w:rFonts w:ascii="Arial" w:eastAsia="Times New Roman" w:hAnsi="Arial" w:cs="Arial"/>
          <w:color w:val="202A30"/>
          <w:lang w:eastAsia="en-GB"/>
        </w:rPr>
      </w:pPr>
    </w:p>
    <w:p w14:paraId="4DC13553" w14:textId="5A1EDFD9" w:rsidR="00F60DD0" w:rsidRPr="00F60DD0" w:rsidRDefault="00CA286B" w:rsidP="00F60DD0">
      <w:pPr>
        <w:shd w:val="clear" w:color="auto" w:fill="FFFFFF"/>
        <w:spacing w:after="225" w:line="240" w:lineRule="auto"/>
        <w:textAlignment w:val="baseline"/>
        <w:rPr>
          <w:rFonts w:ascii="Arial" w:eastAsia="Times New Roman" w:hAnsi="Arial" w:cs="Arial"/>
          <w:color w:val="202A30"/>
          <w:lang w:eastAsia="en-GB"/>
        </w:rPr>
      </w:pPr>
      <w:r w:rsidRPr="00F60DD0">
        <w:rPr>
          <w:rFonts w:ascii="Arial" w:eastAsia="Times New Roman" w:hAnsi="Arial" w:cs="Arial"/>
          <w:color w:val="202A30"/>
          <w:lang w:eastAsia="en-GB"/>
        </w:rPr>
        <w:t>However</w:t>
      </w:r>
      <w:r w:rsidR="00B70C9F" w:rsidRPr="00F60DD0">
        <w:rPr>
          <w:rFonts w:ascii="Arial" w:eastAsia="Times New Roman" w:hAnsi="Arial" w:cs="Arial"/>
          <w:color w:val="202A30"/>
          <w:lang w:eastAsia="en-GB"/>
        </w:rPr>
        <w:t>,</w:t>
      </w:r>
      <w:r w:rsidRPr="00F60DD0">
        <w:rPr>
          <w:rFonts w:ascii="Arial" w:eastAsia="Times New Roman" w:hAnsi="Arial" w:cs="Arial"/>
          <w:color w:val="202A30"/>
          <w:lang w:eastAsia="en-GB"/>
        </w:rPr>
        <w:t xml:space="preserve"> that does not mean that each organisation should </w:t>
      </w:r>
      <w:r w:rsidR="008D3780" w:rsidRPr="00F60DD0">
        <w:rPr>
          <w:rFonts w:ascii="Arial" w:eastAsia="Times New Roman" w:hAnsi="Arial" w:cs="Arial"/>
          <w:color w:val="202A30"/>
          <w:lang w:eastAsia="en-GB"/>
        </w:rPr>
        <w:t>conduct</w:t>
      </w:r>
      <w:r w:rsidRPr="00F60DD0">
        <w:rPr>
          <w:rFonts w:ascii="Arial" w:eastAsia="Times New Roman" w:hAnsi="Arial" w:cs="Arial"/>
          <w:color w:val="202A30"/>
          <w:lang w:eastAsia="en-GB"/>
        </w:rPr>
        <w:t xml:space="preserve"> its public involvement activities in isolation from others within the ICS and beyond. Plans, </w:t>
      </w:r>
      <w:r w:rsidR="00B70C9F" w:rsidRPr="00F60DD0">
        <w:rPr>
          <w:rFonts w:ascii="Arial" w:eastAsia="Times New Roman" w:hAnsi="Arial" w:cs="Arial"/>
          <w:color w:val="202A30"/>
          <w:lang w:eastAsia="en-GB"/>
        </w:rPr>
        <w:t>proposals,</w:t>
      </w:r>
      <w:r w:rsidRPr="00F60DD0">
        <w:rPr>
          <w:rFonts w:ascii="Arial" w:eastAsia="Times New Roman" w:hAnsi="Arial" w:cs="Arial"/>
          <w:color w:val="202A30"/>
          <w:lang w:eastAsia="en-GB"/>
        </w:rPr>
        <w:t xml:space="preserve"> or decisions will often involve more than one organisation, particularly in respect of integration and service reconfiguration, in which case it is usually desirable to carry this out in an joined up and coordinated way, reducing the burden on both the public and the organisations themselves.</w:t>
      </w:r>
    </w:p>
    <w:p w14:paraId="72A4CCCF" w14:textId="1FC57AE1" w:rsidR="00B70C9F" w:rsidRPr="00F60DD0" w:rsidRDefault="00CA286B" w:rsidP="00B70C9F">
      <w:pPr>
        <w:shd w:val="clear" w:color="auto" w:fill="FFFFFF"/>
        <w:spacing w:after="225" w:line="240" w:lineRule="auto"/>
        <w:textAlignment w:val="baseline"/>
        <w:rPr>
          <w:rFonts w:ascii="Arial" w:eastAsia="Times New Roman" w:hAnsi="Arial" w:cs="Arial"/>
          <w:color w:val="202A30"/>
          <w:lang w:eastAsia="en-GB"/>
        </w:rPr>
      </w:pPr>
      <w:r w:rsidRPr="00F60DD0">
        <w:rPr>
          <w:rFonts w:ascii="Arial" w:eastAsia="Times New Roman" w:hAnsi="Arial" w:cs="Arial"/>
          <w:color w:val="202A30"/>
          <w:lang w:eastAsia="en-GB"/>
        </w:rPr>
        <w:t>The legal duties require arrangements to secure that people are ‘involved’</w:t>
      </w:r>
      <w:r w:rsidR="00465708" w:rsidRPr="00F60DD0">
        <w:rPr>
          <w:rFonts w:ascii="Arial" w:eastAsia="Times New Roman" w:hAnsi="Arial" w:cs="Arial"/>
          <w:color w:val="202A30"/>
          <w:lang w:eastAsia="en-GB"/>
        </w:rPr>
        <w:t>:</w:t>
      </w:r>
      <w:r w:rsidRPr="00F60DD0">
        <w:rPr>
          <w:rFonts w:ascii="Arial" w:eastAsia="Times New Roman" w:hAnsi="Arial" w:cs="Arial"/>
          <w:color w:val="202A30"/>
          <w:lang w:eastAsia="en-GB"/>
        </w:rPr>
        <w:t xml:space="preserve"> </w:t>
      </w:r>
    </w:p>
    <w:p w14:paraId="56C39530" w14:textId="673B460C" w:rsidR="00CA286B" w:rsidRPr="00F60DD0" w:rsidRDefault="00CA286B" w:rsidP="00465708">
      <w:pPr>
        <w:pStyle w:val="ListParagraph"/>
        <w:numPr>
          <w:ilvl w:val="0"/>
          <w:numId w:val="14"/>
        </w:numPr>
        <w:shd w:val="clear" w:color="auto" w:fill="FFFFFF"/>
        <w:spacing w:after="225" w:line="240" w:lineRule="auto"/>
        <w:textAlignment w:val="baseline"/>
        <w:rPr>
          <w:rFonts w:ascii="Arial" w:eastAsia="Times New Roman" w:hAnsi="Arial" w:cs="Arial"/>
          <w:color w:val="202A30"/>
          <w:lang w:eastAsia="en-GB"/>
        </w:rPr>
      </w:pPr>
      <w:r w:rsidRPr="00F60DD0">
        <w:rPr>
          <w:rFonts w:ascii="Arial" w:eastAsia="Times New Roman" w:hAnsi="Arial" w:cs="Arial"/>
          <w:color w:val="202A30"/>
          <w:lang w:eastAsia="en-GB"/>
        </w:rPr>
        <w:t>This can be achieved by consulting people, providing people with information, or in other ways. This gives organisations a considerable degree of discretion as to how people are involved, subject to the below requirements.</w:t>
      </w:r>
    </w:p>
    <w:p w14:paraId="2059A6BD" w14:textId="7EA4438B" w:rsidR="00465708" w:rsidRPr="00F60DD0" w:rsidRDefault="00CA286B" w:rsidP="00465708">
      <w:pPr>
        <w:pStyle w:val="ListParagraph"/>
        <w:numPr>
          <w:ilvl w:val="0"/>
          <w:numId w:val="14"/>
        </w:numPr>
        <w:shd w:val="clear" w:color="auto" w:fill="FFFFFF"/>
        <w:spacing w:after="225" w:line="240" w:lineRule="auto"/>
        <w:textAlignment w:val="baseline"/>
        <w:rPr>
          <w:rFonts w:ascii="Arial" w:eastAsia="Times New Roman" w:hAnsi="Arial" w:cs="Arial"/>
          <w:color w:val="202A30"/>
          <w:lang w:eastAsia="en-GB"/>
        </w:rPr>
      </w:pPr>
      <w:r w:rsidRPr="00F60DD0">
        <w:rPr>
          <w:rFonts w:ascii="Arial" w:eastAsia="Times New Roman" w:hAnsi="Arial" w:cs="Arial"/>
          <w:color w:val="202A30"/>
          <w:lang w:eastAsia="en-GB"/>
        </w:rPr>
        <w:t xml:space="preserve">Neither the legal duties, nor this statutory guidance, seek to prescribe exactly how to involve people in any given case.  </w:t>
      </w:r>
      <w:r w:rsidR="00B70C9F" w:rsidRPr="00F60DD0">
        <w:rPr>
          <w:rFonts w:ascii="Arial" w:eastAsia="Times New Roman" w:hAnsi="Arial" w:cs="Arial"/>
          <w:color w:val="202A30"/>
          <w:lang w:eastAsia="en-GB"/>
        </w:rPr>
        <w:t>W</w:t>
      </w:r>
      <w:r w:rsidRPr="00F60DD0">
        <w:rPr>
          <w:rFonts w:ascii="Arial" w:eastAsia="Times New Roman" w:hAnsi="Arial" w:cs="Arial"/>
          <w:color w:val="202A30"/>
          <w:lang w:eastAsia="en-GB"/>
        </w:rPr>
        <w:t xml:space="preserve">hat is necessary will always depend upon the circumstances. </w:t>
      </w:r>
    </w:p>
    <w:p w14:paraId="615CB255" w14:textId="6FD42DBC" w:rsidR="00465708" w:rsidRPr="00F60DD0" w:rsidRDefault="00CA286B" w:rsidP="00465708">
      <w:pPr>
        <w:pStyle w:val="ListParagraph"/>
        <w:numPr>
          <w:ilvl w:val="0"/>
          <w:numId w:val="14"/>
        </w:numPr>
        <w:shd w:val="clear" w:color="auto" w:fill="FFFFFF"/>
        <w:spacing w:after="0" w:line="240" w:lineRule="auto"/>
        <w:textAlignment w:val="baseline"/>
        <w:rPr>
          <w:rFonts w:ascii="Arial" w:eastAsia="Times New Roman" w:hAnsi="Arial" w:cs="Arial"/>
          <w:color w:val="202A30"/>
          <w:lang w:eastAsia="en-GB"/>
        </w:rPr>
      </w:pPr>
      <w:r w:rsidRPr="00F60DD0">
        <w:rPr>
          <w:rFonts w:ascii="Arial" w:eastAsia="Times New Roman" w:hAnsi="Arial" w:cs="Arial"/>
          <w:color w:val="202A30"/>
          <w:lang w:eastAsia="en-GB"/>
        </w:rPr>
        <w:t>Public bodies are required to act rationally, and this applies to the arrangements they make to involve people. Public bodies can demonstrate that they are acting rationally by keeping good records of decisions taken about when and how to involve the public.</w:t>
      </w:r>
      <w:r w:rsidR="00465708" w:rsidRPr="00F60DD0">
        <w:rPr>
          <w:rFonts w:ascii="Arial" w:eastAsia="Times New Roman" w:hAnsi="Arial" w:cs="Arial"/>
          <w:color w:val="202A30"/>
          <w:lang w:eastAsia="en-GB"/>
        </w:rPr>
        <w:t xml:space="preserve"> </w:t>
      </w:r>
    </w:p>
    <w:p w14:paraId="42112ED3" w14:textId="68607486" w:rsidR="00CA286B" w:rsidRPr="00F60DD0" w:rsidRDefault="00CA286B" w:rsidP="00465708">
      <w:pPr>
        <w:pStyle w:val="ListParagraph"/>
        <w:numPr>
          <w:ilvl w:val="0"/>
          <w:numId w:val="14"/>
        </w:numPr>
        <w:shd w:val="clear" w:color="auto" w:fill="FFFFFF"/>
        <w:spacing w:after="0" w:line="240" w:lineRule="auto"/>
        <w:textAlignment w:val="baseline"/>
        <w:rPr>
          <w:rFonts w:ascii="Arial" w:eastAsia="Times New Roman" w:hAnsi="Arial" w:cs="Arial"/>
          <w:color w:val="202A30"/>
          <w:lang w:eastAsia="en-GB"/>
        </w:rPr>
      </w:pPr>
      <w:r w:rsidRPr="00F60DD0">
        <w:rPr>
          <w:rFonts w:ascii="Arial" w:eastAsia="Times New Roman" w:hAnsi="Arial" w:cs="Arial"/>
          <w:color w:val="202A30"/>
          <w:lang w:eastAsia="en-GB"/>
        </w:rPr>
        <w:t>Statutory duties, such as the involvement duties set out above, are not the only circumstances in which a duty to consult may arise. Under common law, a duty to consult </w:t>
      </w:r>
      <w:r w:rsidRPr="00F60DD0">
        <w:rPr>
          <w:rFonts w:ascii="Arial" w:eastAsia="Times New Roman" w:hAnsi="Arial" w:cs="Arial"/>
          <w:i/>
          <w:iCs/>
          <w:color w:val="202A30"/>
          <w:bdr w:val="none" w:sz="0" w:space="0" w:color="auto" w:frame="1"/>
          <w:lang w:eastAsia="en-GB"/>
        </w:rPr>
        <w:t>may</w:t>
      </w:r>
      <w:r w:rsidRPr="00F60DD0">
        <w:rPr>
          <w:rFonts w:ascii="Arial" w:eastAsia="Times New Roman" w:hAnsi="Arial" w:cs="Arial"/>
          <w:color w:val="202A30"/>
          <w:lang w:eastAsia="en-GB"/>
        </w:rPr>
        <w:t> also arise where there has been a promise to consult, where there has been an established practice of consultation, or, in exceptional cases, it would be conspicuously unfair not to consult. There will also be circumstances in which working with people and communities would be beneficial even if doing so is not legal requirement. Therefore, whether or not the involvement duties apply is not the only consideration when deciding whether and how to work with people and communities.</w:t>
      </w:r>
    </w:p>
    <w:p w14:paraId="5763288C" w14:textId="00E68AA2" w:rsidR="00F60DD0" w:rsidRPr="00F60DD0" w:rsidRDefault="00F60DD0" w:rsidP="00F60DD0">
      <w:pPr>
        <w:shd w:val="clear" w:color="auto" w:fill="FFFFFF"/>
        <w:spacing w:after="0" w:line="240" w:lineRule="auto"/>
        <w:textAlignment w:val="baseline"/>
        <w:rPr>
          <w:rFonts w:ascii="Arial" w:eastAsia="Times New Roman" w:hAnsi="Arial" w:cs="Arial"/>
          <w:color w:val="202A30"/>
          <w:lang w:eastAsia="en-GB"/>
        </w:rPr>
      </w:pPr>
    </w:p>
    <w:p w14:paraId="0869E9DD" w14:textId="77777777" w:rsidR="00F60DD0" w:rsidRPr="00F60DD0" w:rsidRDefault="00F60DD0" w:rsidP="00F60DD0">
      <w:pPr>
        <w:rPr>
          <w:rFonts w:ascii="Arial" w:hAnsi="Arial" w:cs="Arial"/>
          <w:b/>
          <w:bCs/>
        </w:rPr>
      </w:pPr>
      <w:r w:rsidRPr="00F60DD0">
        <w:rPr>
          <w:rFonts w:ascii="Arial" w:hAnsi="Arial" w:cs="Arial"/>
          <w:b/>
          <w:bCs/>
        </w:rPr>
        <w:t>Individuals, carers and representatives</w:t>
      </w:r>
    </w:p>
    <w:p w14:paraId="623D70D7" w14:textId="77777777" w:rsidR="00F60DD0" w:rsidRPr="00F60DD0" w:rsidRDefault="00F60DD0" w:rsidP="00F60DD0">
      <w:pPr>
        <w:rPr>
          <w:rFonts w:ascii="Arial" w:hAnsi="Arial" w:cs="Arial"/>
        </w:rPr>
      </w:pPr>
      <w:r w:rsidRPr="00F60DD0">
        <w:rPr>
          <w:rFonts w:ascii="Arial" w:hAnsi="Arial" w:cs="Arial"/>
        </w:rPr>
        <w:t>These public involvement duties have applied to commissioners and providers for many years and are largely unchanged. However, a significant change introduced by the Health and Care Act 2022 is that, in respect of NHS England and ICBs, the description of people they must make arrangements to involve has been extended from ‘individuals to whom the services are being or may be provided’ to also include ‘their carers and representatives (if any)’. While it is already common practice to involve carers and their representatives – and to do so is in line with previous statutory guidance on the public involvement duties – this change makes it a legal requirement for arrangements for public involvement to secure the involvement of carers and representatives (if any), as well as service users themselves.</w:t>
      </w:r>
    </w:p>
    <w:p w14:paraId="6A1ED2BA" w14:textId="77777777" w:rsidR="00F60DD0" w:rsidRPr="00F60DD0" w:rsidRDefault="00F60DD0" w:rsidP="00F60DD0">
      <w:pPr>
        <w:rPr>
          <w:rFonts w:ascii="Arial" w:hAnsi="Arial" w:cs="Arial"/>
        </w:rPr>
      </w:pPr>
      <w:r w:rsidRPr="00F60DD0">
        <w:rPr>
          <w:rFonts w:ascii="Arial" w:hAnsi="Arial" w:cs="Arial"/>
        </w:rPr>
        <w:t>Relevant carers and representatives could include young carers, individual patients’ advocates or family members who help organise their care, as well as councillors and community leaders, VCSE sector organisations, local Healthwatch and other organisations able to represent the interests of the individuals who use, or may use, the services in question. A stakeholder analysis can help determine which groups are relevant representatives depending on the context. More than one of these representative groups may need to be involved alongside people with lived experience to ensure that the full range of views can be considered.</w:t>
      </w:r>
    </w:p>
    <w:p w14:paraId="3B87159E" w14:textId="77777777" w:rsidR="00F60DD0" w:rsidRPr="00F60DD0" w:rsidRDefault="00F60DD0" w:rsidP="00F60DD0">
      <w:pPr>
        <w:rPr>
          <w:rFonts w:ascii="Arial" w:hAnsi="Arial" w:cs="Arial"/>
          <w:b/>
          <w:bCs/>
        </w:rPr>
      </w:pPr>
      <w:r w:rsidRPr="00F60DD0">
        <w:rPr>
          <w:rFonts w:ascii="Arial" w:hAnsi="Arial" w:cs="Arial"/>
          <w:b/>
          <w:bCs/>
        </w:rPr>
        <w:t>A process for assessing whether the legal duty to involve applies</w:t>
      </w:r>
    </w:p>
    <w:p w14:paraId="27612B64" w14:textId="48552564" w:rsidR="00F60DD0" w:rsidRPr="00F60DD0" w:rsidRDefault="00F60DD0" w:rsidP="00F60DD0">
      <w:pPr>
        <w:rPr>
          <w:rFonts w:ascii="Arial" w:hAnsi="Arial" w:cs="Arial"/>
          <w:sz w:val="20"/>
          <w:szCs w:val="20"/>
        </w:rPr>
      </w:pPr>
      <w:r w:rsidRPr="00F60DD0">
        <w:rPr>
          <w:rFonts w:ascii="Arial" w:hAnsi="Arial" w:cs="Arial"/>
        </w:rPr>
        <w:t>We have developed a process for assessing whether the legal duty applies. This should be documented in the PPI Form</w:t>
      </w:r>
      <w:r w:rsidRPr="00F60DD0">
        <w:rPr>
          <w:rFonts w:ascii="Arial" w:hAnsi="Arial" w:cs="Arial"/>
          <w:sz w:val="20"/>
          <w:szCs w:val="20"/>
        </w:rPr>
        <w:t>.</w:t>
      </w:r>
    </w:p>
    <w:p w14:paraId="02432B71" w14:textId="77777777" w:rsidR="00AC5D17" w:rsidRDefault="00AC5D17" w:rsidP="00AC5D17">
      <w:pPr>
        <w:shd w:val="clear" w:color="auto" w:fill="FFFFFF"/>
        <w:jc w:val="center"/>
        <w:textAlignment w:val="baseline"/>
        <w:rPr>
          <w:rFonts w:ascii="Arial" w:hAnsi="Arial" w:cs="Arial"/>
          <w:color w:val="202A30"/>
          <w:sz w:val="20"/>
          <w:szCs w:val="20"/>
        </w:rPr>
      </w:pPr>
    </w:p>
    <w:p w14:paraId="4BC8FC99" w14:textId="77777777" w:rsidR="00AC5D17" w:rsidRDefault="00AC5D17" w:rsidP="00AC5D17">
      <w:pPr>
        <w:shd w:val="clear" w:color="auto" w:fill="FFFFFF"/>
        <w:jc w:val="center"/>
        <w:textAlignment w:val="baseline"/>
        <w:rPr>
          <w:rFonts w:ascii="Arial" w:hAnsi="Arial" w:cs="Arial"/>
          <w:color w:val="202A30"/>
          <w:sz w:val="20"/>
          <w:szCs w:val="20"/>
        </w:rPr>
      </w:pPr>
    </w:p>
    <w:p w14:paraId="2F0FB5EE" w14:textId="77777777" w:rsidR="00AC5D17" w:rsidRDefault="00AC5D17" w:rsidP="00AC5D17">
      <w:pPr>
        <w:shd w:val="clear" w:color="auto" w:fill="FFFFFF"/>
        <w:jc w:val="center"/>
        <w:textAlignment w:val="baseline"/>
        <w:rPr>
          <w:rFonts w:ascii="Arial" w:hAnsi="Arial" w:cs="Arial"/>
          <w:color w:val="202A30"/>
          <w:sz w:val="20"/>
          <w:szCs w:val="20"/>
        </w:rPr>
      </w:pPr>
    </w:p>
    <w:p w14:paraId="5927E2C5" w14:textId="77777777" w:rsidR="00AC5D17" w:rsidRDefault="00AC5D17" w:rsidP="00AC5D17">
      <w:pPr>
        <w:shd w:val="clear" w:color="auto" w:fill="FFFFFF"/>
        <w:jc w:val="center"/>
        <w:textAlignment w:val="baseline"/>
        <w:rPr>
          <w:rFonts w:ascii="Arial" w:hAnsi="Arial" w:cs="Arial"/>
          <w:color w:val="202A30"/>
          <w:sz w:val="20"/>
          <w:szCs w:val="20"/>
        </w:rPr>
      </w:pPr>
    </w:p>
    <w:p w14:paraId="5599E75F" w14:textId="77777777" w:rsidR="00AC5D17" w:rsidRDefault="00AC5D17" w:rsidP="00AC5D17">
      <w:pPr>
        <w:shd w:val="clear" w:color="auto" w:fill="FFFFFF"/>
        <w:jc w:val="center"/>
        <w:textAlignment w:val="baseline"/>
        <w:rPr>
          <w:rFonts w:ascii="Arial" w:hAnsi="Arial" w:cs="Arial"/>
          <w:color w:val="202A30"/>
          <w:sz w:val="20"/>
          <w:szCs w:val="20"/>
        </w:rPr>
      </w:pPr>
    </w:p>
    <w:p w14:paraId="7851D3BD" w14:textId="6A33859E" w:rsidR="00B70C9F" w:rsidRPr="00B70C9F" w:rsidRDefault="00B70C9F" w:rsidP="00AC5D17">
      <w:pPr>
        <w:shd w:val="clear" w:color="auto" w:fill="FFFFFF"/>
        <w:jc w:val="center"/>
        <w:textAlignment w:val="baseline"/>
        <w:rPr>
          <w:rFonts w:ascii="Arial" w:hAnsi="Arial" w:cs="Arial"/>
          <w:color w:val="202A30"/>
          <w:sz w:val="20"/>
          <w:szCs w:val="20"/>
        </w:rPr>
      </w:pPr>
      <w:r w:rsidRPr="00B70C9F">
        <w:rPr>
          <w:rFonts w:ascii="Arial" w:hAnsi="Arial" w:cs="Arial"/>
          <w:noProof/>
          <w:color w:val="005EB8"/>
          <w:sz w:val="20"/>
          <w:szCs w:val="20"/>
          <w:bdr w:val="none" w:sz="0" w:space="0" w:color="auto" w:frame="1"/>
        </w:rPr>
        <w:drawing>
          <wp:inline distT="0" distB="0" distL="0" distR="0" wp14:anchorId="6DDD9BFC" wp14:editId="6095AB37">
            <wp:extent cx="5040000" cy="4068000"/>
            <wp:effectExtent l="0" t="0" r="8255" b="8890"/>
            <wp:docPr id="3" name="Picture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0000" cy="4068000"/>
                    </a:xfrm>
                    <a:prstGeom prst="rect">
                      <a:avLst/>
                    </a:prstGeom>
                    <a:noFill/>
                    <a:ln>
                      <a:noFill/>
                    </a:ln>
                  </pic:spPr>
                </pic:pic>
              </a:graphicData>
            </a:graphic>
          </wp:inline>
        </w:drawing>
      </w:r>
    </w:p>
    <w:p w14:paraId="36DE1F0F" w14:textId="77777777" w:rsidR="00AC5D17" w:rsidRDefault="00AC5D17" w:rsidP="00AC5D17">
      <w:pPr>
        <w:shd w:val="clear" w:color="auto" w:fill="FFFFFF"/>
        <w:jc w:val="center"/>
        <w:textAlignment w:val="baseline"/>
        <w:rPr>
          <w:rFonts w:ascii="Arial" w:hAnsi="Arial" w:cs="Arial"/>
          <w:color w:val="202A30"/>
          <w:sz w:val="20"/>
          <w:szCs w:val="20"/>
        </w:rPr>
      </w:pPr>
    </w:p>
    <w:p w14:paraId="5FB2F321" w14:textId="77777777" w:rsidR="00AC5D17" w:rsidRDefault="00AC5D17" w:rsidP="00AC5D17">
      <w:pPr>
        <w:shd w:val="clear" w:color="auto" w:fill="FFFFFF"/>
        <w:jc w:val="center"/>
        <w:textAlignment w:val="baseline"/>
        <w:rPr>
          <w:rFonts w:ascii="Arial" w:hAnsi="Arial" w:cs="Arial"/>
          <w:color w:val="202A30"/>
          <w:sz w:val="20"/>
          <w:szCs w:val="20"/>
        </w:rPr>
      </w:pPr>
    </w:p>
    <w:p w14:paraId="51D7269E" w14:textId="77777777" w:rsidR="00AC5D17" w:rsidRDefault="00AC5D17" w:rsidP="00AC5D17">
      <w:pPr>
        <w:shd w:val="clear" w:color="auto" w:fill="FFFFFF"/>
        <w:jc w:val="center"/>
        <w:textAlignment w:val="baseline"/>
        <w:rPr>
          <w:rFonts w:ascii="Arial" w:hAnsi="Arial" w:cs="Arial"/>
          <w:color w:val="202A30"/>
          <w:sz w:val="20"/>
          <w:szCs w:val="20"/>
        </w:rPr>
      </w:pPr>
      <w:r>
        <w:rPr>
          <w:rFonts w:ascii="Arial" w:hAnsi="Arial" w:cs="Arial"/>
          <w:color w:val="202A30"/>
          <w:sz w:val="20"/>
          <w:szCs w:val="20"/>
        </w:rPr>
        <w:br/>
      </w:r>
    </w:p>
    <w:p w14:paraId="57096F33" w14:textId="77777777" w:rsidR="00AC5D17" w:rsidRDefault="00AC5D17" w:rsidP="00AC5D17">
      <w:pPr>
        <w:shd w:val="clear" w:color="auto" w:fill="FFFFFF"/>
        <w:jc w:val="center"/>
        <w:textAlignment w:val="baseline"/>
        <w:rPr>
          <w:rFonts w:ascii="Arial" w:hAnsi="Arial" w:cs="Arial"/>
          <w:color w:val="202A30"/>
          <w:sz w:val="20"/>
          <w:szCs w:val="20"/>
        </w:rPr>
      </w:pPr>
    </w:p>
    <w:p w14:paraId="1E5909C2" w14:textId="77777777" w:rsidR="00AC5D17" w:rsidRDefault="00AC5D17" w:rsidP="00AC5D17">
      <w:pPr>
        <w:shd w:val="clear" w:color="auto" w:fill="FFFFFF"/>
        <w:jc w:val="center"/>
        <w:textAlignment w:val="baseline"/>
        <w:rPr>
          <w:rFonts w:ascii="Arial" w:hAnsi="Arial" w:cs="Arial"/>
          <w:color w:val="202A30"/>
          <w:sz w:val="20"/>
          <w:szCs w:val="20"/>
        </w:rPr>
      </w:pPr>
    </w:p>
    <w:p w14:paraId="746815F4" w14:textId="77777777" w:rsidR="00AC5D17" w:rsidRDefault="00AC5D17" w:rsidP="00AC5D17">
      <w:pPr>
        <w:shd w:val="clear" w:color="auto" w:fill="FFFFFF"/>
        <w:jc w:val="center"/>
        <w:textAlignment w:val="baseline"/>
        <w:rPr>
          <w:rFonts w:ascii="Arial" w:hAnsi="Arial" w:cs="Arial"/>
          <w:color w:val="202A30"/>
          <w:sz w:val="20"/>
          <w:szCs w:val="20"/>
        </w:rPr>
      </w:pPr>
    </w:p>
    <w:p w14:paraId="4026D8E0" w14:textId="77777777" w:rsidR="00AC5D17" w:rsidRDefault="00AC5D17" w:rsidP="00AC5D17">
      <w:pPr>
        <w:shd w:val="clear" w:color="auto" w:fill="FFFFFF"/>
        <w:jc w:val="center"/>
        <w:textAlignment w:val="baseline"/>
        <w:rPr>
          <w:rFonts w:ascii="Arial" w:hAnsi="Arial" w:cs="Arial"/>
          <w:color w:val="202A30"/>
          <w:sz w:val="20"/>
          <w:szCs w:val="20"/>
        </w:rPr>
      </w:pPr>
    </w:p>
    <w:p w14:paraId="0F984B83" w14:textId="77777777" w:rsidR="00AC5D17" w:rsidRDefault="00AC5D17">
      <w:pPr>
        <w:rPr>
          <w:rFonts w:ascii="Arial" w:hAnsi="Arial" w:cs="Arial"/>
          <w:color w:val="202A30"/>
          <w:sz w:val="20"/>
          <w:szCs w:val="20"/>
        </w:rPr>
      </w:pPr>
      <w:r>
        <w:rPr>
          <w:rFonts w:ascii="Arial" w:hAnsi="Arial" w:cs="Arial"/>
          <w:color w:val="202A30"/>
          <w:sz w:val="20"/>
          <w:szCs w:val="20"/>
        </w:rPr>
        <w:br w:type="page"/>
      </w:r>
    </w:p>
    <w:p w14:paraId="2A56EBAF" w14:textId="77777777" w:rsidR="00AC5D17" w:rsidRDefault="00AC5D17" w:rsidP="00AC5D17">
      <w:pPr>
        <w:shd w:val="clear" w:color="auto" w:fill="FFFFFF"/>
        <w:jc w:val="center"/>
        <w:textAlignment w:val="baseline"/>
        <w:rPr>
          <w:rFonts w:ascii="Arial" w:hAnsi="Arial" w:cs="Arial"/>
          <w:color w:val="202A30"/>
          <w:sz w:val="20"/>
          <w:szCs w:val="20"/>
        </w:rPr>
      </w:pPr>
    </w:p>
    <w:p w14:paraId="7634FD75" w14:textId="0C4E13B6" w:rsidR="00B70C9F" w:rsidRPr="00B70C9F" w:rsidRDefault="00B70C9F" w:rsidP="00AC5D17">
      <w:pPr>
        <w:shd w:val="clear" w:color="auto" w:fill="FFFFFF"/>
        <w:jc w:val="center"/>
        <w:textAlignment w:val="baseline"/>
        <w:rPr>
          <w:rFonts w:ascii="Arial" w:hAnsi="Arial" w:cs="Arial"/>
          <w:color w:val="202A30"/>
          <w:sz w:val="20"/>
          <w:szCs w:val="20"/>
        </w:rPr>
      </w:pPr>
      <w:r w:rsidRPr="00B70C9F">
        <w:rPr>
          <w:rFonts w:ascii="Arial" w:hAnsi="Arial" w:cs="Arial"/>
          <w:noProof/>
          <w:color w:val="005EB8"/>
          <w:sz w:val="20"/>
          <w:szCs w:val="20"/>
          <w:bdr w:val="none" w:sz="0" w:space="0" w:color="auto" w:frame="1"/>
        </w:rPr>
        <w:drawing>
          <wp:inline distT="0" distB="0" distL="0" distR="0" wp14:anchorId="69B5F48D" wp14:editId="629D26E2">
            <wp:extent cx="5040000" cy="8650800"/>
            <wp:effectExtent l="0" t="0" r="8255" b="0"/>
            <wp:docPr id="2" name="Picture 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0000" cy="8650800"/>
                    </a:xfrm>
                    <a:prstGeom prst="rect">
                      <a:avLst/>
                    </a:prstGeom>
                    <a:noFill/>
                    <a:ln>
                      <a:noFill/>
                    </a:ln>
                  </pic:spPr>
                </pic:pic>
              </a:graphicData>
            </a:graphic>
          </wp:inline>
        </w:drawing>
      </w:r>
    </w:p>
    <w:p w14:paraId="69EC5ED2" w14:textId="69E076ED" w:rsidR="00B70C9F" w:rsidRPr="00B70C9F" w:rsidRDefault="00B70C9F" w:rsidP="00AC5D17">
      <w:pPr>
        <w:shd w:val="clear" w:color="auto" w:fill="FFFFFF"/>
        <w:jc w:val="center"/>
        <w:textAlignment w:val="baseline"/>
        <w:rPr>
          <w:rFonts w:ascii="Arial" w:hAnsi="Arial" w:cs="Arial"/>
          <w:color w:val="202A30"/>
          <w:sz w:val="20"/>
          <w:szCs w:val="20"/>
        </w:rPr>
      </w:pPr>
      <w:r w:rsidRPr="00B70C9F">
        <w:rPr>
          <w:rFonts w:ascii="Arial" w:hAnsi="Arial" w:cs="Arial"/>
          <w:noProof/>
          <w:color w:val="005EB8"/>
          <w:sz w:val="20"/>
          <w:szCs w:val="20"/>
          <w:bdr w:val="none" w:sz="0" w:space="0" w:color="auto" w:frame="1"/>
        </w:rPr>
        <w:lastRenderedPageBreak/>
        <w:drawing>
          <wp:inline distT="0" distB="0" distL="0" distR="0" wp14:anchorId="0473B58B" wp14:editId="2D279573">
            <wp:extent cx="5040000" cy="9068400"/>
            <wp:effectExtent l="0" t="0" r="8255" b="0"/>
            <wp:docPr id="1" name="Picture 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0000" cy="9068400"/>
                    </a:xfrm>
                    <a:prstGeom prst="rect">
                      <a:avLst/>
                    </a:prstGeom>
                    <a:noFill/>
                    <a:ln>
                      <a:noFill/>
                    </a:ln>
                  </pic:spPr>
                </pic:pic>
              </a:graphicData>
            </a:graphic>
          </wp:inline>
        </w:drawing>
      </w:r>
    </w:p>
    <w:p w14:paraId="04646854" w14:textId="77777777" w:rsidR="00CA286B" w:rsidRPr="00AC5D17" w:rsidRDefault="00CA286B">
      <w:pPr>
        <w:rPr>
          <w:rFonts w:ascii="Arial" w:hAnsi="Arial" w:cs="Arial"/>
        </w:rPr>
      </w:pPr>
    </w:p>
    <w:p w14:paraId="47E68592" w14:textId="26C23BB3" w:rsidR="00943A0E" w:rsidRPr="00AC5D17" w:rsidRDefault="00943A0E" w:rsidP="00943A0E">
      <w:pPr>
        <w:rPr>
          <w:rFonts w:ascii="Arial" w:hAnsi="Arial" w:cs="Arial"/>
          <w:b/>
          <w:bCs/>
        </w:rPr>
      </w:pPr>
      <w:r w:rsidRPr="00AC5D17">
        <w:rPr>
          <w:rFonts w:ascii="Arial" w:hAnsi="Arial" w:cs="Arial"/>
          <w:b/>
          <w:bCs/>
        </w:rPr>
        <w:t>Impact is the main consideration – what is the impact on the patient, member of public, and their carers</w:t>
      </w:r>
      <w:r w:rsidR="009B3445" w:rsidRPr="00AC5D17">
        <w:rPr>
          <w:rFonts w:ascii="Arial" w:hAnsi="Arial" w:cs="Arial"/>
          <w:b/>
          <w:bCs/>
        </w:rPr>
        <w:t>?</w:t>
      </w:r>
    </w:p>
    <w:p w14:paraId="719F01E9" w14:textId="468AEAC2" w:rsidR="00943A0E" w:rsidRPr="00AC5D17" w:rsidRDefault="00AC5D17" w:rsidP="00943A0E">
      <w:pPr>
        <w:pStyle w:val="ListParagraph"/>
        <w:numPr>
          <w:ilvl w:val="0"/>
          <w:numId w:val="1"/>
        </w:numPr>
        <w:rPr>
          <w:rFonts w:ascii="Arial" w:hAnsi="Arial" w:cs="Arial"/>
        </w:rPr>
      </w:pPr>
      <w:r>
        <w:rPr>
          <w:rFonts w:ascii="Arial" w:hAnsi="Arial" w:cs="Arial"/>
        </w:rPr>
        <w:t>The b</w:t>
      </w:r>
      <w:r w:rsidR="00943A0E" w:rsidRPr="00AC5D17">
        <w:rPr>
          <w:rFonts w:ascii="Arial" w:hAnsi="Arial" w:cs="Arial"/>
        </w:rPr>
        <w:t>igger the change/impact the bigger the consultation/engagement needs to be</w:t>
      </w:r>
      <w:r>
        <w:rPr>
          <w:rFonts w:ascii="Arial" w:hAnsi="Arial" w:cs="Arial"/>
        </w:rPr>
        <w:t>.</w:t>
      </w:r>
    </w:p>
    <w:p w14:paraId="7C19399B" w14:textId="5A5CF582" w:rsidR="00943A0E" w:rsidRPr="00AC5D17" w:rsidRDefault="00AC5D17" w:rsidP="00943A0E">
      <w:pPr>
        <w:pStyle w:val="ListParagraph"/>
        <w:numPr>
          <w:ilvl w:val="0"/>
          <w:numId w:val="1"/>
        </w:numPr>
        <w:rPr>
          <w:rFonts w:ascii="Arial" w:hAnsi="Arial" w:cs="Arial"/>
        </w:rPr>
      </w:pPr>
      <w:r>
        <w:rPr>
          <w:rFonts w:ascii="Arial" w:hAnsi="Arial" w:cs="Arial"/>
        </w:rPr>
        <w:t>The n</w:t>
      </w:r>
      <w:r w:rsidR="00237C41" w:rsidRPr="00AC5D17">
        <w:rPr>
          <w:rFonts w:ascii="Arial" w:hAnsi="Arial" w:cs="Arial"/>
        </w:rPr>
        <w:t>umbers of people</w:t>
      </w:r>
      <w:r w:rsidR="00943A0E" w:rsidRPr="00AC5D17">
        <w:rPr>
          <w:rFonts w:ascii="Arial" w:hAnsi="Arial" w:cs="Arial"/>
        </w:rPr>
        <w:t xml:space="preserve"> impacted </w:t>
      </w:r>
      <w:r>
        <w:rPr>
          <w:rFonts w:ascii="Arial" w:hAnsi="Arial" w:cs="Arial"/>
        </w:rPr>
        <w:t xml:space="preserve">is </w:t>
      </w:r>
      <w:r w:rsidR="00943A0E" w:rsidRPr="00AC5D17">
        <w:rPr>
          <w:rFonts w:ascii="Arial" w:hAnsi="Arial" w:cs="Arial"/>
        </w:rPr>
        <w:t>important</w:t>
      </w:r>
      <w:r>
        <w:rPr>
          <w:rFonts w:ascii="Arial" w:hAnsi="Arial" w:cs="Arial"/>
        </w:rPr>
        <w:t>.</w:t>
      </w:r>
    </w:p>
    <w:p w14:paraId="5966A6D4" w14:textId="77777777" w:rsidR="00237C41" w:rsidRPr="00AC5D17" w:rsidRDefault="00C04A63" w:rsidP="00C04A63">
      <w:pPr>
        <w:pStyle w:val="ListParagraph"/>
        <w:numPr>
          <w:ilvl w:val="0"/>
          <w:numId w:val="1"/>
        </w:numPr>
        <w:rPr>
          <w:rFonts w:ascii="Arial" w:hAnsi="Arial" w:cs="Arial"/>
        </w:rPr>
      </w:pPr>
      <w:r w:rsidRPr="00AC5D17">
        <w:rPr>
          <w:rFonts w:ascii="Arial" w:hAnsi="Arial" w:cs="Arial"/>
        </w:rPr>
        <w:t xml:space="preserve">The impact on services should be considered from the perspective of patients and not necessarily limited to the clinical services being commissioned or provided. Accessibility, transport links and ambulance availability are all examples of matters that could be significant in considering impact. </w:t>
      </w:r>
    </w:p>
    <w:p w14:paraId="19FE3290" w14:textId="1ADED02F" w:rsidR="00943A0E" w:rsidRDefault="00C04A63" w:rsidP="00C04A63">
      <w:pPr>
        <w:pStyle w:val="ListParagraph"/>
        <w:numPr>
          <w:ilvl w:val="0"/>
          <w:numId w:val="1"/>
        </w:numPr>
        <w:rPr>
          <w:rFonts w:ascii="Arial" w:hAnsi="Arial" w:cs="Arial"/>
        </w:rPr>
      </w:pPr>
      <w:r w:rsidRPr="00AC5D17">
        <w:rPr>
          <w:rFonts w:ascii="Arial" w:hAnsi="Arial" w:cs="Arial"/>
        </w:rPr>
        <w:t xml:space="preserve">An Equality Impact Assessment </w:t>
      </w:r>
      <w:r w:rsidR="004307B6" w:rsidRPr="00AC5D17">
        <w:rPr>
          <w:rFonts w:ascii="Arial" w:hAnsi="Arial" w:cs="Arial"/>
        </w:rPr>
        <w:t xml:space="preserve">(EIA) </w:t>
      </w:r>
      <w:r w:rsidRPr="00AC5D17">
        <w:rPr>
          <w:rFonts w:ascii="Arial" w:hAnsi="Arial" w:cs="Arial"/>
        </w:rPr>
        <w:t>can help identify which groups are likely to be affected. </w:t>
      </w:r>
      <w:r w:rsidR="004307B6" w:rsidRPr="00AC5D17">
        <w:rPr>
          <w:rFonts w:ascii="Arial" w:hAnsi="Arial" w:cs="Arial"/>
        </w:rPr>
        <w:t xml:space="preserve">Information about completing the </w:t>
      </w:r>
      <w:r w:rsidR="0098258E" w:rsidRPr="00AC5D17">
        <w:rPr>
          <w:rFonts w:ascii="Arial" w:hAnsi="Arial" w:cs="Arial"/>
        </w:rPr>
        <w:t xml:space="preserve">EIA </w:t>
      </w:r>
      <w:r w:rsidR="004307B6" w:rsidRPr="00AC5D17">
        <w:rPr>
          <w:rFonts w:ascii="Arial" w:hAnsi="Arial" w:cs="Arial"/>
        </w:rPr>
        <w:t xml:space="preserve">can be found on page </w:t>
      </w:r>
      <w:r w:rsidR="0098258E" w:rsidRPr="00AC5D17">
        <w:rPr>
          <w:rFonts w:ascii="Arial" w:hAnsi="Arial" w:cs="Arial"/>
        </w:rPr>
        <w:t xml:space="preserve">16 of our </w:t>
      </w:r>
      <w:hyperlink r:id="rId19" w:history="1">
        <w:r w:rsidR="0098258E" w:rsidRPr="00AC5D17">
          <w:rPr>
            <w:rStyle w:val="Hyperlink"/>
            <w:rFonts w:ascii="Arial" w:hAnsi="Arial" w:cs="Arial"/>
          </w:rPr>
          <w:t>Guide</w:t>
        </w:r>
        <w:r w:rsidR="00440A76" w:rsidRPr="00AC5D17">
          <w:rPr>
            <w:rStyle w:val="Hyperlink"/>
            <w:rFonts w:ascii="Arial" w:hAnsi="Arial" w:cs="Arial"/>
          </w:rPr>
          <w:t xml:space="preserve"> to working with People and Communities</w:t>
        </w:r>
      </w:hyperlink>
      <w:r w:rsidR="00833AFD" w:rsidRPr="00AC5D17">
        <w:rPr>
          <w:rFonts w:ascii="Arial" w:hAnsi="Arial" w:cs="Arial"/>
        </w:rPr>
        <w:t xml:space="preserve">, and is included in the Quality and Equality Impact Assessment Tool, found </w:t>
      </w:r>
      <w:hyperlink r:id="rId20" w:history="1">
        <w:r w:rsidR="00833AFD" w:rsidRPr="00AC5D17">
          <w:rPr>
            <w:rStyle w:val="Hyperlink"/>
            <w:rFonts w:ascii="Arial" w:hAnsi="Arial" w:cs="Arial"/>
          </w:rPr>
          <w:t>here</w:t>
        </w:r>
      </w:hyperlink>
      <w:r w:rsidR="00833AFD" w:rsidRPr="00AC5D17">
        <w:rPr>
          <w:rFonts w:ascii="Arial" w:hAnsi="Arial" w:cs="Arial"/>
        </w:rPr>
        <w:t xml:space="preserve">. </w:t>
      </w:r>
    </w:p>
    <w:p w14:paraId="735C8302" w14:textId="6BE5FC99" w:rsidR="00B405C8" w:rsidRPr="00AC5D17" w:rsidRDefault="00B405C8">
      <w:pPr>
        <w:rPr>
          <w:rFonts w:ascii="Arial" w:hAnsi="Arial" w:cs="Arial"/>
        </w:rPr>
      </w:pPr>
      <w:r w:rsidRPr="00E65B5A">
        <w:rPr>
          <w:rFonts w:ascii="Arial" w:hAnsi="Arial" w:cs="Arial"/>
          <w:b/>
          <w:bCs/>
        </w:rPr>
        <w:t>Support with completing an assessment of the legal duties can be provided by the ICB Engagement Team</w:t>
      </w:r>
      <w:r w:rsidRPr="00AC5D17">
        <w:rPr>
          <w:rFonts w:ascii="Arial" w:hAnsi="Arial" w:cs="Arial"/>
        </w:rPr>
        <w:t>.</w:t>
      </w:r>
    </w:p>
    <w:p w14:paraId="2B5AA439" w14:textId="77777777" w:rsidR="006B644B" w:rsidRPr="00AC5D17" w:rsidRDefault="0020164E">
      <w:pPr>
        <w:rPr>
          <w:rFonts w:ascii="Arial" w:hAnsi="Arial" w:cs="Arial"/>
        </w:rPr>
      </w:pPr>
      <w:r w:rsidRPr="00AC5D17">
        <w:rPr>
          <w:rFonts w:ascii="Arial" w:hAnsi="Arial" w:cs="Arial"/>
        </w:rPr>
        <w:t>The Engagement Team should see all assessments related to</w:t>
      </w:r>
      <w:r w:rsidR="006B644B" w:rsidRPr="00AC5D17">
        <w:rPr>
          <w:rFonts w:ascii="Arial" w:hAnsi="Arial" w:cs="Arial"/>
        </w:rPr>
        <w:t>:</w:t>
      </w:r>
    </w:p>
    <w:p w14:paraId="7118779C" w14:textId="6B0D5FCB" w:rsidR="0020164E" w:rsidRPr="00AC5D17" w:rsidRDefault="006B644B" w:rsidP="006B644B">
      <w:pPr>
        <w:pStyle w:val="ListParagraph"/>
        <w:numPr>
          <w:ilvl w:val="0"/>
          <w:numId w:val="1"/>
        </w:numPr>
        <w:rPr>
          <w:rFonts w:ascii="Arial" w:hAnsi="Arial" w:cs="Arial"/>
        </w:rPr>
      </w:pPr>
      <w:r w:rsidRPr="00AC5D17">
        <w:rPr>
          <w:rFonts w:ascii="Arial" w:hAnsi="Arial" w:cs="Arial"/>
        </w:rPr>
        <w:t>P</w:t>
      </w:r>
      <w:r w:rsidR="00C9761D" w:rsidRPr="00AC5D17">
        <w:rPr>
          <w:rFonts w:ascii="Arial" w:hAnsi="Arial" w:cs="Arial"/>
        </w:rPr>
        <w:t xml:space="preserve">lanning, proposals for change, or operational decisions </w:t>
      </w:r>
      <w:r w:rsidR="00F73EF9" w:rsidRPr="00AC5D17">
        <w:rPr>
          <w:rFonts w:ascii="Arial" w:hAnsi="Arial" w:cs="Arial"/>
        </w:rPr>
        <w:t>where the business decision originated in the system, or ICB space</w:t>
      </w:r>
      <w:r w:rsidR="00D0487E" w:rsidRPr="00AC5D17">
        <w:rPr>
          <w:rFonts w:ascii="Arial" w:hAnsi="Arial" w:cs="Arial"/>
        </w:rPr>
        <w:t xml:space="preserve">, or where </w:t>
      </w:r>
      <w:r w:rsidR="00A844BD" w:rsidRPr="00AC5D17">
        <w:rPr>
          <w:rFonts w:ascii="Arial" w:hAnsi="Arial" w:cs="Arial"/>
        </w:rPr>
        <w:t>the service is jointly commissioned with the ICB.</w:t>
      </w:r>
    </w:p>
    <w:p w14:paraId="0550AAD3" w14:textId="1F6033E6" w:rsidR="008B1350" w:rsidRPr="00AC5D17" w:rsidRDefault="008B1350" w:rsidP="006B644B">
      <w:pPr>
        <w:pStyle w:val="ListParagraph"/>
        <w:numPr>
          <w:ilvl w:val="0"/>
          <w:numId w:val="1"/>
        </w:numPr>
        <w:rPr>
          <w:rFonts w:ascii="Arial" w:hAnsi="Arial" w:cs="Arial"/>
          <w:b/>
          <w:bCs/>
        </w:rPr>
      </w:pPr>
      <w:r w:rsidRPr="00AC5D17">
        <w:rPr>
          <w:rFonts w:ascii="Arial" w:hAnsi="Arial" w:cs="Arial"/>
        </w:rPr>
        <w:t>Where the business decision originate</w:t>
      </w:r>
      <w:r w:rsidR="000D2AD0" w:rsidRPr="00AC5D17">
        <w:rPr>
          <w:rFonts w:ascii="Arial" w:hAnsi="Arial" w:cs="Arial"/>
        </w:rPr>
        <w:t>s</w:t>
      </w:r>
      <w:r w:rsidRPr="00AC5D17">
        <w:rPr>
          <w:rFonts w:ascii="Arial" w:hAnsi="Arial" w:cs="Arial"/>
        </w:rPr>
        <w:t xml:space="preserve"> in a specific NHS Trust or Foundation Trust, </w:t>
      </w:r>
      <w:r w:rsidR="00EF5514" w:rsidRPr="00AC5D17">
        <w:rPr>
          <w:rFonts w:ascii="Arial" w:hAnsi="Arial" w:cs="Arial"/>
        </w:rPr>
        <w:t xml:space="preserve">and relates only to that Trust, then the assessment can be </w:t>
      </w:r>
      <w:r w:rsidR="00EA129F" w:rsidRPr="00AC5D17">
        <w:rPr>
          <w:rFonts w:ascii="Arial" w:hAnsi="Arial" w:cs="Arial"/>
        </w:rPr>
        <w:t>conducted</w:t>
      </w:r>
      <w:r w:rsidR="00EF5514" w:rsidRPr="00AC5D17">
        <w:rPr>
          <w:rFonts w:ascii="Arial" w:hAnsi="Arial" w:cs="Arial"/>
        </w:rPr>
        <w:t xml:space="preserve"> through internal processes.</w:t>
      </w:r>
      <w:r w:rsidR="0020010F" w:rsidRPr="00AC5D17">
        <w:rPr>
          <w:rFonts w:ascii="Arial" w:hAnsi="Arial" w:cs="Arial"/>
        </w:rPr>
        <w:t xml:space="preserve"> It is recommended that the same process is followed as stipulated in this guidance, and that the offer of support from the </w:t>
      </w:r>
      <w:r w:rsidR="00EF5514" w:rsidRPr="00AC5D17">
        <w:rPr>
          <w:rFonts w:ascii="Arial" w:hAnsi="Arial" w:cs="Arial"/>
        </w:rPr>
        <w:t xml:space="preserve">ICB Engagement Team </w:t>
      </w:r>
      <w:r w:rsidR="0020010F" w:rsidRPr="00AC5D17">
        <w:rPr>
          <w:rFonts w:ascii="Arial" w:hAnsi="Arial" w:cs="Arial"/>
        </w:rPr>
        <w:t>with assessments is communicated</w:t>
      </w:r>
      <w:r w:rsidR="00323833" w:rsidRPr="00AC5D17">
        <w:rPr>
          <w:rFonts w:ascii="Arial" w:hAnsi="Arial" w:cs="Arial"/>
        </w:rPr>
        <w:t xml:space="preserve"> – </w:t>
      </w:r>
      <w:r w:rsidR="00323833" w:rsidRPr="00AC5D17">
        <w:rPr>
          <w:rFonts w:ascii="Arial" w:hAnsi="Arial" w:cs="Arial"/>
          <w:b/>
          <w:bCs/>
        </w:rPr>
        <w:t>due to the point</w:t>
      </w:r>
      <w:r w:rsidR="00E65B5A">
        <w:rPr>
          <w:rFonts w:ascii="Arial" w:hAnsi="Arial" w:cs="Arial"/>
          <w:b/>
          <w:bCs/>
        </w:rPr>
        <w:t>s</w:t>
      </w:r>
      <w:r w:rsidR="00323833" w:rsidRPr="00AC5D17">
        <w:rPr>
          <w:rFonts w:ascii="Arial" w:hAnsi="Arial" w:cs="Arial"/>
          <w:b/>
          <w:bCs/>
        </w:rPr>
        <w:t xml:space="preserve"> below. </w:t>
      </w:r>
    </w:p>
    <w:p w14:paraId="6DA7FFD5" w14:textId="23C6B4A0" w:rsidR="00EF5514" w:rsidRDefault="00D3281D" w:rsidP="006B644B">
      <w:pPr>
        <w:pStyle w:val="ListParagraph"/>
        <w:numPr>
          <w:ilvl w:val="0"/>
          <w:numId w:val="1"/>
        </w:numPr>
        <w:rPr>
          <w:rFonts w:ascii="Arial" w:hAnsi="Arial" w:cs="Arial"/>
        </w:rPr>
      </w:pPr>
      <w:r w:rsidRPr="00AC5D17">
        <w:rPr>
          <w:rFonts w:ascii="Arial" w:hAnsi="Arial" w:cs="Arial"/>
        </w:rPr>
        <w:t xml:space="preserve">The </w:t>
      </w:r>
      <w:r w:rsidR="00F468BE" w:rsidRPr="00AC5D17">
        <w:rPr>
          <w:rFonts w:ascii="Arial" w:hAnsi="Arial" w:cs="Arial"/>
        </w:rPr>
        <w:t xml:space="preserve">ICB </w:t>
      </w:r>
      <w:r w:rsidRPr="00AC5D17">
        <w:rPr>
          <w:rFonts w:ascii="Arial" w:hAnsi="Arial" w:cs="Arial"/>
        </w:rPr>
        <w:t xml:space="preserve">Engagement Team </w:t>
      </w:r>
      <w:r w:rsidR="00F468BE" w:rsidRPr="00AC5D17">
        <w:rPr>
          <w:rFonts w:ascii="Arial" w:hAnsi="Arial" w:cs="Arial"/>
        </w:rPr>
        <w:t xml:space="preserve">should be </w:t>
      </w:r>
      <w:r w:rsidRPr="00AC5D17">
        <w:rPr>
          <w:rFonts w:ascii="Arial" w:hAnsi="Arial" w:cs="Arial"/>
        </w:rPr>
        <w:t>sighted on decisions that originate in a spe</w:t>
      </w:r>
      <w:r w:rsidR="00EF5514" w:rsidRPr="00AC5D17">
        <w:rPr>
          <w:rFonts w:ascii="Arial" w:hAnsi="Arial" w:cs="Arial"/>
        </w:rPr>
        <w:t xml:space="preserve">cific NHS Trust or Foundation Trust </w:t>
      </w:r>
      <w:r w:rsidR="00EE7FC0" w:rsidRPr="00AC5D17">
        <w:rPr>
          <w:rFonts w:ascii="Arial" w:hAnsi="Arial" w:cs="Arial"/>
          <w:b/>
          <w:bCs/>
        </w:rPr>
        <w:t>which</w:t>
      </w:r>
      <w:r w:rsidR="00BC61A3" w:rsidRPr="00AC5D17">
        <w:rPr>
          <w:rFonts w:ascii="Arial" w:hAnsi="Arial" w:cs="Arial"/>
          <w:b/>
          <w:bCs/>
        </w:rPr>
        <w:t xml:space="preserve"> may lead to a significant/substantial change to services</w:t>
      </w:r>
      <w:r w:rsidR="00BC61A3" w:rsidRPr="00AC5D17">
        <w:rPr>
          <w:rFonts w:ascii="Arial" w:hAnsi="Arial" w:cs="Arial"/>
        </w:rPr>
        <w:t xml:space="preserve">, as </w:t>
      </w:r>
      <w:r w:rsidR="009A3389" w:rsidRPr="00AC5D17">
        <w:rPr>
          <w:rFonts w:ascii="Arial" w:hAnsi="Arial" w:cs="Arial"/>
        </w:rPr>
        <w:t>consultation with the Health Overview and Scrutiny Committee</w:t>
      </w:r>
      <w:r w:rsidR="004E7E9E" w:rsidRPr="00AC5D17">
        <w:rPr>
          <w:rFonts w:ascii="Arial" w:hAnsi="Arial" w:cs="Arial"/>
        </w:rPr>
        <w:t xml:space="preserve"> (HOSC)</w:t>
      </w:r>
      <w:r w:rsidR="009A3389" w:rsidRPr="00AC5D17">
        <w:rPr>
          <w:rFonts w:ascii="Arial" w:hAnsi="Arial" w:cs="Arial"/>
        </w:rPr>
        <w:t xml:space="preserve"> </w:t>
      </w:r>
      <w:r w:rsidR="004E7E9E" w:rsidRPr="00AC5D17">
        <w:rPr>
          <w:rFonts w:ascii="Arial" w:hAnsi="Arial" w:cs="Arial"/>
        </w:rPr>
        <w:t xml:space="preserve">(see separate guidance around the role of the HOSC which can be found </w:t>
      </w:r>
      <w:hyperlink r:id="rId21" w:history="1">
        <w:r w:rsidR="004E7E9E" w:rsidRPr="00391641">
          <w:rPr>
            <w:rStyle w:val="Hyperlink"/>
            <w:rFonts w:ascii="Arial" w:hAnsi="Arial" w:cs="Arial"/>
          </w:rPr>
          <w:t>here</w:t>
        </w:r>
      </w:hyperlink>
      <w:r w:rsidR="004E7E9E" w:rsidRPr="00AC5D17">
        <w:rPr>
          <w:rFonts w:ascii="Arial" w:hAnsi="Arial" w:cs="Arial"/>
        </w:rPr>
        <w:t xml:space="preserve">) </w:t>
      </w:r>
      <w:r w:rsidR="009A3389" w:rsidRPr="00AC5D17">
        <w:rPr>
          <w:rFonts w:ascii="Arial" w:hAnsi="Arial" w:cs="Arial"/>
        </w:rPr>
        <w:t xml:space="preserve">is likely </w:t>
      </w:r>
      <w:r w:rsidR="009A3389" w:rsidRPr="00FD08F4">
        <w:rPr>
          <w:rFonts w:ascii="Arial" w:hAnsi="Arial" w:cs="Arial"/>
        </w:rPr>
        <w:t>in this scenario,</w:t>
      </w:r>
      <w:r w:rsidR="00E65B5A" w:rsidRPr="00FD08F4">
        <w:rPr>
          <w:rFonts w:ascii="Arial" w:hAnsi="Arial" w:cs="Arial"/>
        </w:rPr>
        <w:t xml:space="preserve"> as well as the duty for commissioners to notify </w:t>
      </w:r>
      <w:r w:rsidR="00FD08F4" w:rsidRPr="00FD08F4">
        <w:rPr>
          <w:rFonts w:ascii="Arial" w:hAnsi="Arial" w:cs="Arial"/>
        </w:rPr>
        <w:t>the Secretary of State (</w:t>
      </w:r>
      <w:r w:rsidR="00E65B5A" w:rsidRPr="00FD08F4">
        <w:rPr>
          <w:rFonts w:ascii="Arial" w:hAnsi="Arial" w:cs="Arial"/>
        </w:rPr>
        <w:t>SoS</w:t>
      </w:r>
      <w:r w:rsidR="00FD08F4" w:rsidRPr="00FD08F4">
        <w:rPr>
          <w:rFonts w:ascii="Arial" w:hAnsi="Arial" w:cs="Arial"/>
        </w:rPr>
        <w:t>)</w:t>
      </w:r>
      <w:r w:rsidR="00E65B5A" w:rsidRPr="00FD08F4">
        <w:rPr>
          <w:rFonts w:ascii="Arial" w:hAnsi="Arial" w:cs="Arial"/>
        </w:rPr>
        <w:t xml:space="preserve"> of substantial reconfigurations</w:t>
      </w:r>
      <w:r w:rsidR="00B40B98" w:rsidRPr="00FD08F4">
        <w:rPr>
          <w:rFonts w:ascii="Arial" w:hAnsi="Arial" w:cs="Arial"/>
        </w:rPr>
        <w:t>,</w:t>
      </w:r>
      <w:r w:rsidR="009A3389" w:rsidRPr="00FD08F4">
        <w:rPr>
          <w:rFonts w:ascii="Arial" w:hAnsi="Arial" w:cs="Arial"/>
        </w:rPr>
        <w:t xml:space="preserve"> </w:t>
      </w:r>
      <w:r w:rsidR="005B4207" w:rsidRPr="00FD08F4">
        <w:rPr>
          <w:rFonts w:ascii="Arial" w:hAnsi="Arial" w:cs="Arial"/>
        </w:rPr>
        <w:t>this</w:t>
      </w:r>
      <w:r w:rsidR="00E65B5A" w:rsidRPr="00FD08F4">
        <w:rPr>
          <w:rFonts w:ascii="Arial" w:hAnsi="Arial" w:cs="Arial"/>
        </w:rPr>
        <w:t xml:space="preserve"> HOSC</w:t>
      </w:r>
      <w:r w:rsidR="005B4207" w:rsidRPr="00FD08F4">
        <w:rPr>
          <w:rFonts w:ascii="Arial" w:hAnsi="Arial" w:cs="Arial"/>
        </w:rPr>
        <w:t xml:space="preserve"> relationship </w:t>
      </w:r>
      <w:r w:rsidR="00E65B5A" w:rsidRPr="00FD08F4">
        <w:rPr>
          <w:rFonts w:ascii="Arial" w:hAnsi="Arial" w:cs="Arial"/>
        </w:rPr>
        <w:t xml:space="preserve">and SoS notification process </w:t>
      </w:r>
      <w:r w:rsidR="005B4207" w:rsidRPr="00FD08F4">
        <w:rPr>
          <w:rFonts w:ascii="Arial" w:hAnsi="Arial" w:cs="Arial"/>
        </w:rPr>
        <w:t xml:space="preserve">is facilitated by the ICB. Moreover, any significant or substantial service change </w:t>
      </w:r>
      <w:r w:rsidR="005B4207" w:rsidRPr="00AC5D17">
        <w:rPr>
          <w:rFonts w:ascii="Arial" w:hAnsi="Arial" w:cs="Arial"/>
        </w:rPr>
        <w:t xml:space="preserve">may lead to the requirement for </w:t>
      </w:r>
      <w:r w:rsidR="005B4207" w:rsidRPr="00387924">
        <w:rPr>
          <w:rFonts w:ascii="Arial" w:hAnsi="Arial" w:cs="Arial"/>
          <w:b/>
          <w:bCs/>
        </w:rPr>
        <w:t>consultation</w:t>
      </w:r>
      <w:r w:rsidR="005B4207" w:rsidRPr="00AC5D17">
        <w:rPr>
          <w:rFonts w:ascii="Arial" w:hAnsi="Arial" w:cs="Arial"/>
        </w:rPr>
        <w:t xml:space="preserve"> which should be overseen by the ICB.</w:t>
      </w:r>
    </w:p>
    <w:p w14:paraId="64F0B4CA" w14:textId="092CEC93" w:rsidR="00883FF9" w:rsidRPr="00AC5D17" w:rsidRDefault="00750CBF" w:rsidP="00750CBF">
      <w:pPr>
        <w:rPr>
          <w:rFonts w:ascii="Arial" w:hAnsi="Arial" w:cs="Arial"/>
        </w:rPr>
      </w:pPr>
      <w:r w:rsidRPr="00AC5D17">
        <w:rPr>
          <w:rFonts w:ascii="Arial" w:hAnsi="Arial" w:cs="Arial"/>
        </w:rPr>
        <w:t>Process for assessment</w:t>
      </w:r>
      <w:r w:rsidR="008D207E" w:rsidRPr="00AC5D17">
        <w:rPr>
          <w:rFonts w:ascii="Arial" w:hAnsi="Arial" w:cs="Arial"/>
        </w:rPr>
        <w:t xml:space="preserve"> </w:t>
      </w:r>
      <w:r w:rsidR="00474133" w:rsidRPr="00AC5D17">
        <w:rPr>
          <w:rFonts w:ascii="Arial" w:hAnsi="Arial" w:cs="Arial"/>
        </w:rPr>
        <w:t xml:space="preserve">of PPI Forms </w:t>
      </w:r>
      <w:r w:rsidR="008D207E" w:rsidRPr="00AC5D17">
        <w:rPr>
          <w:rFonts w:ascii="Arial" w:hAnsi="Arial" w:cs="Arial"/>
        </w:rPr>
        <w:t>by ICB Engagement Team</w:t>
      </w:r>
      <w:r w:rsidR="009A7284">
        <w:rPr>
          <w:rFonts w:ascii="Arial" w:hAnsi="Arial" w:cs="Arial"/>
        </w:rPr>
        <w:t>:</w:t>
      </w:r>
    </w:p>
    <w:p w14:paraId="46642B2A" w14:textId="71E53D17" w:rsidR="008B1A6D" w:rsidRPr="00AC5D17" w:rsidRDefault="000B0A3E" w:rsidP="001975B4">
      <w:pPr>
        <w:pStyle w:val="ListParagraph"/>
        <w:numPr>
          <w:ilvl w:val="0"/>
          <w:numId w:val="1"/>
        </w:numPr>
        <w:rPr>
          <w:rFonts w:ascii="Arial" w:hAnsi="Arial" w:cs="Arial"/>
        </w:rPr>
      </w:pPr>
      <w:r w:rsidRPr="00AC5D17">
        <w:rPr>
          <w:rFonts w:ascii="Arial" w:hAnsi="Arial" w:cs="Arial"/>
        </w:rPr>
        <w:t xml:space="preserve">The PPI form </w:t>
      </w:r>
      <w:r w:rsidR="003775A3" w:rsidRPr="00AC5D17">
        <w:rPr>
          <w:rFonts w:ascii="Arial" w:hAnsi="Arial" w:cs="Arial"/>
        </w:rPr>
        <w:t>should be completed</w:t>
      </w:r>
      <w:r w:rsidR="008B1A6D" w:rsidRPr="00AC5D17">
        <w:rPr>
          <w:rFonts w:ascii="Arial" w:hAnsi="Arial" w:cs="Arial"/>
        </w:rPr>
        <w:t xml:space="preserve"> by the project lead</w:t>
      </w:r>
      <w:r w:rsidR="003775A3" w:rsidRPr="00AC5D17">
        <w:rPr>
          <w:rFonts w:ascii="Arial" w:hAnsi="Arial" w:cs="Arial"/>
        </w:rPr>
        <w:t xml:space="preserve"> and sent to the ICB Engagement Team </w:t>
      </w:r>
      <w:r w:rsidR="008B1A6D" w:rsidRPr="00AC5D17">
        <w:rPr>
          <w:rFonts w:ascii="Arial" w:hAnsi="Arial" w:cs="Arial"/>
        </w:rPr>
        <w:t xml:space="preserve">via email: </w:t>
      </w:r>
      <w:hyperlink r:id="rId22" w:history="1">
        <w:r w:rsidR="00086045">
          <w:rPr>
            <w:rStyle w:val="Hyperlink"/>
            <w:rFonts w:ascii="Arial" w:hAnsi="Arial" w:cs="Arial"/>
          </w:rPr>
          <w:t>ddicb.engagement@nhs.net</w:t>
        </w:r>
      </w:hyperlink>
    </w:p>
    <w:p w14:paraId="2118D13E" w14:textId="25FA3662" w:rsidR="00001906" w:rsidRPr="00AC5D17" w:rsidRDefault="00750CBF" w:rsidP="001769CD">
      <w:pPr>
        <w:pStyle w:val="ListParagraph"/>
        <w:numPr>
          <w:ilvl w:val="0"/>
          <w:numId w:val="1"/>
        </w:numPr>
        <w:rPr>
          <w:rFonts w:ascii="Arial" w:hAnsi="Arial" w:cs="Arial"/>
        </w:rPr>
      </w:pPr>
      <w:r w:rsidRPr="00AC5D17">
        <w:rPr>
          <w:rFonts w:ascii="Arial" w:hAnsi="Arial" w:cs="Arial"/>
        </w:rPr>
        <w:t xml:space="preserve">PPI forms received into the team will be </w:t>
      </w:r>
      <w:r w:rsidR="00417538" w:rsidRPr="00AC5D17">
        <w:rPr>
          <w:rFonts w:ascii="Arial" w:hAnsi="Arial" w:cs="Arial"/>
        </w:rPr>
        <w:t>assigned</w:t>
      </w:r>
      <w:r w:rsidR="00001906" w:rsidRPr="00AC5D17">
        <w:rPr>
          <w:rFonts w:ascii="Arial" w:hAnsi="Arial" w:cs="Arial"/>
        </w:rPr>
        <w:t xml:space="preserve"> by </w:t>
      </w:r>
      <w:r w:rsidR="007A4B3E" w:rsidRPr="00AC5D17">
        <w:rPr>
          <w:rFonts w:ascii="Arial" w:hAnsi="Arial" w:cs="Arial"/>
        </w:rPr>
        <w:t>the Engagement Officer</w:t>
      </w:r>
      <w:r w:rsidR="00417538" w:rsidRPr="00AC5D17">
        <w:rPr>
          <w:rFonts w:ascii="Arial" w:hAnsi="Arial" w:cs="Arial"/>
        </w:rPr>
        <w:t xml:space="preserve"> to the first available </w:t>
      </w:r>
      <w:r w:rsidR="00001906" w:rsidRPr="00AC5D17">
        <w:rPr>
          <w:rFonts w:ascii="Arial" w:hAnsi="Arial" w:cs="Arial"/>
        </w:rPr>
        <w:t xml:space="preserve">PPI Form Assessment Meeting. </w:t>
      </w:r>
    </w:p>
    <w:p w14:paraId="4B76B1F0" w14:textId="58EB34AA" w:rsidR="0023711D" w:rsidRPr="00AC5D17" w:rsidRDefault="008A01A9" w:rsidP="005D039B">
      <w:pPr>
        <w:pStyle w:val="ListParagraph"/>
        <w:numPr>
          <w:ilvl w:val="0"/>
          <w:numId w:val="1"/>
        </w:numPr>
        <w:rPr>
          <w:rFonts w:ascii="Arial" w:hAnsi="Arial" w:cs="Arial"/>
        </w:rPr>
      </w:pPr>
      <w:r w:rsidRPr="00AC5D17">
        <w:rPr>
          <w:rFonts w:ascii="Arial" w:hAnsi="Arial" w:cs="Arial"/>
        </w:rPr>
        <w:t xml:space="preserve">Assessment of PPI Forms may take </w:t>
      </w:r>
      <w:r w:rsidR="00110454" w:rsidRPr="00AC5D17">
        <w:rPr>
          <w:rFonts w:ascii="Arial" w:hAnsi="Arial" w:cs="Arial"/>
        </w:rPr>
        <w:t>2-3 weeks</w:t>
      </w:r>
      <w:r w:rsidRPr="00AC5D17">
        <w:rPr>
          <w:rFonts w:ascii="Arial" w:hAnsi="Arial" w:cs="Arial"/>
        </w:rPr>
        <w:t>, as further information may be required</w:t>
      </w:r>
      <w:r w:rsidR="00110454" w:rsidRPr="00AC5D17">
        <w:rPr>
          <w:rFonts w:ascii="Arial" w:hAnsi="Arial" w:cs="Arial"/>
        </w:rPr>
        <w:t xml:space="preserve"> in order for the team to make a confident assessment. </w:t>
      </w:r>
      <w:r w:rsidRPr="00AC5D17">
        <w:rPr>
          <w:rFonts w:ascii="Arial" w:hAnsi="Arial" w:cs="Arial"/>
        </w:rPr>
        <w:t xml:space="preserve"> </w:t>
      </w:r>
    </w:p>
    <w:p w14:paraId="5B9A010E" w14:textId="3AA85292" w:rsidR="00A07245" w:rsidRPr="00AC5D17" w:rsidRDefault="00AC0A6A" w:rsidP="00A07245">
      <w:pPr>
        <w:pStyle w:val="ListParagraph"/>
        <w:numPr>
          <w:ilvl w:val="0"/>
          <w:numId w:val="1"/>
        </w:numPr>
        <w:rPr>
          <w:rFonts w:ascii="Arial" w:hAnsi="Arial" w:cs="Arial"/>
        </w:rPr>
      </w:pPr>
      <w:r w:rsidRPr="00AC5D17">
        <w:rPr>
          <w:rFonts w:ascii="Arial" w:hAnsi="Arial" w:cs="Arial"/>
        </w:rPr>
        <w:t>All PPI form assessments</w:t>
      </w:r>
      <w:r w:rsidR="00480821" w:rsidRPr="00AC5D17">
        <w:rPr>
          <w:rFonts w:ascii="Arial" w:hAnsi="Arial" w:cs="Arial"/>
        </w:rPr>
        <w:t xml:space="preserve"> made by the Engagement Team</w:t>
      </w:r>
      <w:r w:rsidRPr="00AC5D17">
        <w:rPr>
          <w:rFonts w:ascii="Arial" w:hAnsi="Arial" w:cs="Arial"/>
        </w:rPr>
        <w:t xml:space="preserve"> are reviewed by Sean Thornton</w:t>
      </w:r>
      <w:r w:rsidR="009A7284">
        <w:rPr>
          <w:rFonts w:ascii="Arial" w:hAnsi="Arial" w:cs="Arial"/>
        </w:rPr>
        <w:t>,</w:t>
      </w:r>
      <w:r w:rsidRPr="00AC5D17">
        <w:rPr>
          <w:rFonts w:ascii="Arial" w:hAnsi="Arial" w:cs="Arial"/>
        </w:rPr>
        <w:t xml:space="preserve"> </w:t>
      </w:r>
      <w:r w:rsidR="00B40B98">
        <w:rPr>
          <w:rFonts w:ascii="Arial" w:hAnsi="Arial" w:cs="Arial"/>
        </w:rPr>
        <w:t xml:space="preserve">Deputy </w:t>
      </w:r>
      <w:r w:rsidRPr="00AC5D17">
        <w:rPr>
          <w:rFonts w:ascii="Arial" w:hAnsi="Arial" w:cs="Arial"/>
        </w:rPr>
        <w:t>Director of ICB Communications and Engagement</w:t>
      </w:r>
      <w:r w:rsidR="00E07296" w:rsidRPr="00AC5D17">
        <w:rPr>
          <w:rFonts w:ascii="Arial" w:hAnsi="Arial" w:cs="Arial"/>
        </w:rPr>
        <w:t xml:space="preserve">. </w:t>
      </w:r>
    </w:p>
    <w:p w14:paraId="59C7DFF9" w14:textId="6EF26C62" w:rsidR="00D84693" w:rsidRPr="00AC5D17" w:rsidRDefault="00360974" w:rsidP="00A07245">
      <w:pPr>
        <w:pStyle w:val="ListParagraph"/>
        <w:numPr>
          <w:ilvl w:val="0"/>
          <w:numId w:val="1"/>
        </w:numPr>
        <w:rPr>
          <w:rFonts w:ascii="Arial" w:hAnsi="Arial" w:cs="Arial"/>
        </w:rPr>
      </w:pPr>
      <w:r w:rsidRPr="00AC5D17">
        <w:rPr>
          <w:rFonts w:ascii="Arial" w:hAnsi="Arial" w:cs="Arial"/>
        </w:rPr>
        <w:t xml:space="preserve">Once the form has been assessed, the </w:t>
      </w:r>
      <w:r w:rsidR="00E07296" w:rsidRPr="00AC5D17">
        <w:rPr>
          <w:rFonts w:ascii="Arial" w:hAnsi="Arial" w:cs="Arial"/>
        </w:rPr>
        <w:t>project lead will then be</w:t>
      </w:r>
      <w:r w:rsidR="00A41CAA" w:rsidRPr="00AC5D17">
        <w:rPr>
          <w:rFonts w:ascii="Arial" w:hAnsi="Arial" w:cs="Arial"/>
        </w:rPr>
        <w:t xml:space="preserve"> notified</w:t>
      </w:r>
      <w:r w:rsidR="00E07296" w:rsidRPr="00AC5D17">
        <w:rPr>
          <w:rFonts w:ascii="Arial" w:hAnsi="Arial" w:cs="Arial"/>
        </w:rPr>
        <w:t xml:space="preserve"> of the decision, and next steps. </w:t>
      </w:r>
    </w:p>
    <w:p w14:paraId="7F83CF11" w14:textId="76CF2902" w:rsidR="00495037" w:rsidRDefault="00495037" w:rsidP="003A7C60">
      <w:pPr>
        <w:pStyle w:val="ListParagraph"/>
        <w:numPr>
          <w:ilvl w:val="1"/>
          <w:numId w:val="1"/>
        </w:numPr>
        <w:rPr>
          <w:rFonts w:ascii="Arial" w:hAnsi="Arial" w:cs="Arial"/>
        </w:rPr>
      </w:pPr>
      <w:r w:rsidRPr="00AC5D17">
        <w:rPr>
          <w:rFonts w:ascii="Arial" w:hAnsi="Arial" w:cs="Arial"/>
        </w:rPr>
        <w:t>If the decision is to 'inform only</w:t>
      </w:r>
      <w:r w:rsidR="00933E70" w:rsidRPr="00AC5D17">
        <w:rPr>
          <w:rFonts w:ascii="Arial" w:hAnsi="Arial" w:cs="Arial"/>
        </w:rPr>
        <w:t>'</w:t>
      </w:r>
      <w:r w:rsidRPr="00AC5D17">
        <w:rPr>
          <w:rFonts w:ascii="Arial" w:hAnsi="Arial" w:cs="Arial"/>
        </w:rPr>
        <w:t xml:space="preserve"> t</w:t>
      </w:r>
      <w:r w:rsidR="001B61E1" w:rsidRPr="00AC5D17">
        <w:rPr>
          <w:rFonts w:ascii="Arial" w:hAnsi="Arial" w:cs="Arial"/>
        </w:rPr>
        <w:t xml:space="preserve">he form </w:t>
      </w:r>
      <w:r w:rsidR="001225CB" w:rsidRPr="00AC5D17">
        <w:rPr>
          <w:rFonts w:ascii="Arial" w:hAnsi="Arial" w:cs="Arial"/>
        </w:rPr>
        <w:t xml:space="preserve">will be </w:t>
      </w:r>
      <w:r w:rsidR="001B61E1" w:rsidRPr="00AC5D17">
        <w:rPr>
          <w:rFonts w:ascii="Arial" w:hAnsi="Arial" w:cs="Arial"/>
        </w:rPr>
        <w:t xml:space="preserve">passed to the </w:t>
      </w:r>
      <w:r w:rsidR="001225CB" w:rsidRPr="00AC5D17">
        <w:rPr>
          <w:rFonts w:ascii="Arial" w:hAnsi="Arial" w:cs="Arial"/>
        </w:rPr>
        <w:t>ICB Communications Team</w:t>
      </w:r>
      <w:r w:rsidR="00EE7F60" w:rsidRPr="00AC5D17">
        <w:rPr>
          <w:rFonts w:ascii="Arial" w:hAnsi="Arial" w:cs="Arial"/>
        </w:rPr>
        <w:t xml:space="preserve"> </w:t>
      </w:r>
      <w:r w:rsidR="001B61E1" w:rsidRPr="00AC5D17">
        <w:rPr>
          <w:rFonts w:ascii="Arial" w:hAnsi="Arial" w:cs="Arial"/>
        </w:rPr>
        <w:t xml:space="preserve">for </w:t>
      </w:r>
      <w:r w:rsidR="0087791A" w:rsidRPr="00AC5D17">
        <w:rPr>
          <w:rFonts w:ascii="Arial" w:hAnsi="Arial" w:cs="Arial"/>
        </w:rPr>
        <w:t xml:space="preserve">appropriate advice or </w:t>
      </w:r>
      <w:r w:rsidR="001B61E1" w:rsidRPr="00AC5D17">
        <w:rPr>
          <w:rFonts w:ascii="Arial" w:hAnsi="Arial" w:cs="Arial"/>
        </w:rPr>
        <w:t>action.</w:t>
      </w:r>
      <w:r w:rsidR="000B0A3E" w:rsidRPr="00AC5D17">
        <w:rPr>
          <w:rFonts w:ascii="Arial" w:hAnsi="Arial" w:cs="Arial"/>
        </w:rPr>
        <w:t xml:space="preserve"> </w:t>
      </w:r>
      <w:r w:rsidR="00AC5D17">
        <w:rPr>
          <w:rFonts w:ascii="Arial" w:hAnsi="Arial" w:cs="Arial"/>
        </w:rPr>
        <w:br/>
      </w:r>
      <w:r w:rsidR="00AC5D17">
        <w:rPr>
          <w:rFonts w:ascii="Arial" w:hAnsi="Arial" w:cs="Arial"/>
        </w:rPr>
        <w:br/>
      </w:r>
      <w:r w:rsidR="00AC5D17">
        <w:rPr>
          <w:rFonts w:ascii="Arial" w:hAnsi="Arial" w:cs="Arial"/>
        </w:rPr>
        <w:lastRenderedPageBreak/>
        <w:br/>
      </w:r>
    </w:p>
    <w:p w14:paraId="04652CFD" w14:textId="387B91BE" w:rsidR="00AC5D17" w:rsidRPr="00AC5D17" w:rsidRDefault="00AC5D17" w:rsidP="00AC5D17">
      <w:pPr>
        <w:pStyle w:val="ListParagraph"/>
        <w:ind w:left="1130"/>
        <w:rPr>
          <w:rFonts w:ascii="Arial" w:hAnsi="Arial" w:cs="Arial"/>
        </w:rPr>
      </w:pPr>
      <w:r>
        <w:rPr>
          <w:rFonts w:ascii="Arial" w:hAnsi="Arial" w:cs="Arial"/>
        </w:rPr>
        <w:br/>
      </w:r>
    </w:p>
    <w:p w14:paraId="4E457070" w14:textId="75694185" w:rsidR="00B750DF" w:rsidRPr="00F94B28" w:rsidRDefault="001B61E1" w:rsidP="003558BA">
      <w:pPr>
        <w:pStyle w:val="ListParagraph"/>
        <w:numPr>
          <w:ilvl w:val="1"/>
          <w:numId w:val="1"/>
        </w:numPr>
        <w:rPr>
          <w:rFonts w:ascii="Arial" w:hAnsi="Arial" w:cs="Arial"/>
        </w:rPr>
      </w:pPr>
      <w:r w:rsidRPr="00AC5D17">
        <w:rPr>
          <w:rFonts w:ascii="Arial" w:hAnsi="Arial" w:cs="Arial"/>
        </w:rPr>
        <w:t xml:space="preserve">If the decision is to engage, or consult, then </w:t>
      </w:r>
      <w:r w:rsidR="0005451A" w:rsidRPr="00AC5D17">
        <w:rPr>
          <w:rFonts w:ascii="Arial" w:hAnsi="Arial" w:cs="Arial"/>
        </w:rPr>
        <w:t xml:space="preserve">the team member will discuss next steps with the project lead. </w:t>
      </w:r>
      <w:r w:rsidR="006A3889" w:rsidRPr="00AC5D17">
        <w:rPr>
          <w:rFonts w:ascii="Arial" w:hAnsi="Arial" w:cs="Arial"/>
        </w:rPr>
        <w:t xml:space="preserve">This will </w:t>
      </w:r>
      <w:r w:rsidR="00721C2C" w:rsidRPr="00AC5D17">
        <w:rPr>
          <w:rFonts w:ascii="Arial" w:hAnsi="Arial" w:cs="Arial"/>
        </w:rPr>
        <w:t>trigger</w:t>
      </w:r>
      <w:r w:rsidR="006A3889" w:rsidRPr="00AC5D17">
        <w:rPr>
          <w:rFonts w:ascii="Arial" w:hAnsi="Arial" w:cs="Arial"/>
        </w:rPr>
        <w:t xml:space="preserve"> other governance related processes</w:t>
      </w:r>
      <w:r w:rsidR="00520A3B" w:rsidRPr="00AC5D17">
        <w:rPr>
          <w:rFonts w:ascii="Arial" w:hAnsi="Arial" w:cs="Arial"/>
        </w:rPr>
        <w:t xml:space="preserve"> outlined on pages </w:t>
      </w:r>
      <w:r w:rsidR="005B7A26" w:rsidRPr="00AC5D17">
        <w:rPr>
          <w:rFonts w:ascii="Arial" w:hAnsi="Arial" w:cs="Arial"/>
        </w:rPr>
        <w:t xml:space="preserve">13-17 of the </w:t>
      </w:r>
      <w:hyperlink r:id="rId23" w:history="1">
        <w:r w:rsidR="005B7A26" w:rsidRPr="00AC5D17">
          <w:rPr>
            <w:rStyle w:val="Hyperlink"/>
            <w:rFonts w:ascii="Arial" w:hAnsi="Arial" w:cs="Arial"/>
          </w:rPr>
          <w:t>ICS Guide to Involving People and Communities</w:t>
        </w:r>
      </w:hyperlink>
      <w:r w:rsidR="005B7A26" w:rsidRPr="00AC5D17">
        <w:rPr>
          <w:rFonts w:ascii="Arial" w:hAnsi="Arial" w:cs="Arial"/>
        </w:rPr>
        <w:t xml:space="preserve">, such as the Quality and Equality Impact Assessment (QEIA), </w:t>
      </w:r>
      <w:r w:rsidR="00D20101" w:rsidRPr="00AC5D17">
        <w:rPr>
          <w:rFonts w:ascii="Arial" w:hAnsi="Arial" w:cs="Arial"/>
        </w:rPr>
        <w:t>consultation with the Health Overview and Scrutiny Committee (HOSC), assurance from the Public Partnership Committee (PPC)</w:t>
      </w:r>
      <w:r w:rsidR="00B40B98">
        <w:rPr>
          <w:rFonts w:ascii="Arial" w:hAnsi="Arial" w:cs="Arial"/>
        </w:rPr>
        <w:t xml:space="preserve"> and </w:t>
      </w:r>
      <w:r w:rsidR="00B40B98" w:rsidRPr="00F94B28">
        <w:rPr>
          <w:rFonts w:ascii="Arial" w:hAnsi="Arial" w:cs="Arial"/>
        </w:rPr>
        <w:t>SoS notification process.</w:t>
      </w:r>
    </w:p>
    <w:sectPr w:rsidR="00B750DF" w:rsidRPr="00F94B28" w:rsidSect="00AC5D17">
      <w:headerReference w:type="default" r:id="rId24"/>
      <w:footerReference w:type="default" r:id="rId25"/>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87114" w14:textId="77777777" w:rsidR="002F4B23" w:rsidRDefault="002F4B23" w:rsidP="00F60DD0">
      <w:pPr>
        <w:spacing w:after="0" w:line="240" w:lineRule="auto"/>
      </w:pPr>
      <w:r>
        <w:separator/>
      </w:r>
    </w:p>
  </w:endnote>
  <w:endnote w:type="continuationSeparator" w:id="0">
    <w:p w14:paraId="41852801" w14:textId="77777777" w:rsidR="002F4B23" w:rsidRDefault="002F4B23" w:rsidP="00F6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6615512"/>
      <w:docPartObj>
        <w:docPartGallery w:val="Page Numbers (Bottom of Page)"/>
        <w:docPartUnique/>
      </w:docPartObj>
    </w:sdtPr>
    <w:sdtEndPr>
      <w:rPr>
        <w:noProof/>
      </w:rPr>
    </w:sdtEndPr>
    <w:sdtContent>
      <w:p w14:paraId="7E6A160C" w14:textId="0CF0329E" w:rsidR="00387924" w:rsidRDefault="003879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4374CA" w14:textId="77777777" w:rsidR="00387924" w:rsidRDefault="00387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DECDF" w14:textId="77777777" w:rsidR="002F4B23" w:rsidRDefault="002F4B23" w:rsidP="00F60DD0">
      <w:pPr>
        <w:spacing w:after="0" w:line="240" w:lineRule="auto"/>
      </w:pPr>
      <w:r>
        <w:separator/>
      </w:r>
    </w:p>
  </w:footnote>
  <w:footnote w:type="continuationSeparator" w:id="0">
    <w:p w14:paraId="2C5FBC18" w14:textId="77777777" w:rsidR="002F4B23" w:rsidRDefault="002F4B23" w:rsidP="00F60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F8607" w14:textId="09D9BF2D" w:rsidR="00F60DD0" w:rsidRDefault="00F60DD0" w:rsidP="00F60DD0">
    <w:pPr>
      <w:pStyle w:val="Header"/>
      <w:tabs>
        <w:tab w:val="clear" w:pos="4513"/>
        <w:tab w:val="clear" w:pos="9026"/>
        <w:tab w:val="left" w:pos="2915"/>
      </w:tabs>
    </w:pPr>
    <w:r>
      <w:rPr>
        <w:noProof/>
      </w:rPr>
      <w:drawing>
        <wp:anchor distT="0" distB="0" distL="114300" distR="114300" simplePos="0" relativeHeight="251661312" behindDoc="1" locked="0" layoutInCell="1" allowOverlap="1" wp14:anchorId="712D9272" wp14:editId="04308A36">
          <wp:simplePos x="0" y="0"/>
          <wp:positionH relativeFrom="page">
            <wp:posOffset>14630</wp:posOffset>
          </wp:positionH>
          <wp:positionV relativeFrom="paragraph">
            <wp:posOffset>-403149</wp:posOffset>
          </wp:positionV>
          <wp:extent cx="2038985" cy="816610"/>
          <wp:effectExtent l="0" t="0" r="0" b="0"/>
          <wp:wrapTight wrapText="bothSides">
            <wp:wrapPolygon edited="0">
              <wp:start x="605" y="1512"/>
              <wp:lineTo x="605" y="14613"/>
              <wp:lineTo x="5045" y="18644"/>
              <wp:lineTo x="9889" y="20156"/>
              <wp:lineTo x="11099" y="20156"/>
              <wp:lineTo x="16145" y="18644"/>
              <wp:lineTo x="20786" y="14613"/>
              <wp:lineTo x="20786" y="1512"/>
              <wp:lineTo x="605" y="1512"/>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8985" cy="8166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CEFEC28" wp14:editId="52E9933E">
          <wp:simplePos x="0" y="0"/>
          <wp:positionH relativeFrom="page">
            <wp:align>right</wp:align>
          </wp:positionH>
          <wp:positionV relativeFrom="paragraph">
            <wp:posOffset>-447167</wp:posOffset>
          </wp:positionV>
          <wp:extent cx="2037080" cy="917575"/>
          <wp:effectExtent l="0" t="0" r="0" b="0"/>
          <wp:wrapTight wrapText="bothSides">
            <wp:wrapPolygon edited="0">
              <wp:start x="12726" y="2691"/>
              <wp:lineTo x="1010" y="10763"/>
              <wp:lineTo x="1010" y="13453"/>
              <wp:lineTo x="6060" y="17489"/>
              <wp:lineTo x="9090" y="18386"/>
              <wp:lineTo x="10504" y="18386"/>
              <wp:lineTo x="19594" y="17489"/>
              <wp:lineTo x="20200" y="11211"/>
              <wp:lineTo x="19392" y="10763"/>
              <wp:lineTo x="20200" y="7624"/>
              <wp:lineTo x="19796" y="2691"/>
              <wp:lineTo x="12726" y="2691"/>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37080" cy="9175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C56EA"/>
    <w:multiLevelType w:val="multilevel"/>
    <w:tmpl w:val="222C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87520"/>
    <w:multiLevelType w:val="multilevel"/>
    <w:tmpl w:val="C7280686"/>
    <w:lvl w:ilvl="0">
      <w:start w:val="27"/>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A44552"/>
    <w:multiLevelType w:val="multilevel"/>
    <w:tmpl w:val="2F8A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3A122E"/>
    <w:multiLevelType w:val="multilevel"/>
    <w:tmpl w:val="372C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86308B"/>
    <w:multiLevelType w:val="hybridMultilevel"/>
    <w:tmpl w:val="12046CA4"/>
    <w:lvl w:ilvl="0" w:tplc="B70A6BFC">
      <w:start w:val="27"/>
      <w:numFmt w:val="bullet"/>
      <w:lvlText w:val="-"/>
      <w:lvlJc w:val="left"/>
      <w:pPr>
        <w:ind w:left="410" w:hanging="360"/>
      </w:pPr>
      <w:rPr>
        <w:rFonts w:ascii="Calibri" w:eastAsiaTheme="minorHAnsi" w:hAnsi="Calibri" w:cs="Calibri" w:hint="default"/>
      </w:rPr>
    </w:lvl>
    <w:lvl w:ilvl="1" w:tplc="08090003">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5" w15:restartNumberingAfterBreak="0">
    <w:nsid w:val="361F7BF1"/>
    <w:multiLevelType w:val="multilevel"/>
    <w:tmpl w:val="4952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405290"/>
    <w:multiLevelType w:val="multilevel"/>
    <w:tmpl w:val="47A2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6C3AC4"/>
    <w:multiLevelType w:val="multilevel"/>
    <w:tmpl w:val="5450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982F02"/>
    <w:multiLevelType w:val="hybridMultilevel"/>
    <w:tmpl w:val="1F320E7A"/>
    <w:lvl w:ilvl="0" w:tplc="B70A6BFC">
      <w:start w:val="2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0D6252"/>
    <w:multiLevelType w:val="multilevel"/>
    <w:tmpl w:val="CB12E708"/>
    <w:lvl w:ilvl="0">
      <w:start w:val="27"/>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D45775"/>
    <w:multiLevelType w:val="hybridMultilevel"/>
    <w:tmpl w:val="76C044F0"/>
    <w:lvl w:ilvl="0" w:tplc="94E8FF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FC3571"/>
    <w:multiLevelType w:val="multilevel"/>
    <w:tmpl w:val="D2FE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031BDC"/>
    <w:multiLevelType w:val="multilevel"/>
    <w:tmpl w:val="0FF4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3E09BA"/>
    <w:multiLevelType w:val="multilevel"/>
    <w:tmpl w:val="C7280686"/>
    <w:lvl w:ilvl="0">
      <w:start w:val="27"/>
      <w:numFmt w:val="bullet"/>
      <w:lvlText w:val="-"/>
      <w:lvlJc w:val="left"/>
      <w:pPr>
        <w:tabs>
          <w:tab w:val="num" w:pos="360"/>
        </w:tabs>
        <w:ind w:left="360" w:hanging="360"/>
      </w:pPr>
      <w:rPr>
        <w:rFonts w:ascii="Calibri" w:eastAsiaTheme="minorHAnsi" w:hAnsi="Calibri" w:cs="Calibri"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6ED70243"/>
    <w:multiLevelType w:val="multilevel"/>
    <w:tmpl w:val="03682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0077010">
    <w:abstractNumId w:val="4"/>
  </w:num>
  <w:num w:numId="2" w16cid:durableId="957687395">
    <w:abstractNumId w:val="3"/>
  </w:num>
  <w:num w:numId="3" w16cid:durableId="1578512083">
    <w:abstractNumId w:val="7"/>
  </w:num>
  <w:num w:numId="4" w16cid:durableId="682826956">
    <w:abstractNumId w:val="12"/>
  </w:num>
  <w:num w:numId="5" w16cid:durableId="10228264">
    <w:abstractNumId w:val="6"/>
  </w:num>
  <w:num w:numId="6" w16cid:durableId="1217543136">
    <w:abstractNumId w:val="0"/>
  </w:num>
  <w:num w:numId="7" w16cid:durableId="830484438">
    <w:abstractNumId w:val="11"/>
  </w:num>
  <w:num w:numId="8" w16cid:durableId="1472870022">
    <w:abstractNumId w:val="14"/>
  </w:num>
  <w:num w:numId="9" w16cid:durableId="1732076076">
    <w:abstractNumId w:val="5"/>
  </w:num>
  <w:num w:numId="10" w16cid:durableId="171838560">
    <w:abstractNumId w:val="2"/>
  </w:num>
  <w:num w:numId="11" w16cid:durableId="382288892">
    <w:abstractNumId w:val="1"/>
  </w:num>
  <w:num w:numId="12" w16cid:durableId="790830621">
    <w:abstractNumId w:val="9"/>
  </w:num>
  <w:num w:numId="13" w16cid:durableId="387606013">
    <w:abstractNumId w:val="13"/>
  </w:num>
  <w:num w:numId="14" w16cid:durableId="956369978">
    <w:abstractNumId w:val="8"/>
  </w:num>
  <w:num w:numId="15" w16cid:durableId="11524113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54"/>
    <w:rsid w:val="00001906"/>
    <w:rsid w:val="00031FA5"/>
    <w:rsid w:val="0003635D"/>
    <w:rsid w:val="0005451A"/>
    <w:rsid w:val="0007688B"/>
    <w:rsid w:val="00084809"/>
    <w:rsid w:val="00086045"/>
    <w:rsid w:val="000B0A3E"/>
    <w:rsid w:val="000D2AD0"/>
    <w:rsid w:val="00110454"/>
    <w:rsid w:val="00115906"/>
    <w:rsid w:val="00115B36"/>
    <w:rsid w:val="001225CB"/>
    <w:rsid w:val="00196F52"/>
    <w:rsid w:val="001B61E1"/>
    <w:rsid w:val="001F0271"/>
    <w:rsid w:val="0020010F"/>
    <w:rsid w:val="0020164E"/>
    <w:rsid w:val="00224E78"/>
    <w:rsid w:val="0023711D"/>
    <w:rsid w:val="00237C41"/>
    <w:rsid w:val="00262A77"/>
    <w:rsid w:val="00280757"/>
    <w:rsid w:val="00293EA9"/>
    <w:rsid w:val="002C5AEA"/>
    <w:rsid w:val="002C70A8"/>
    <w:rsid w:val="002E7599"/>
    <w:rsid w:val="002F4B23"/>
    <w:rsid w:val="002F4E71"/>
    <w:rsid w:val="002F72A4"/>
    <w:rsid w:val="00314327"/>
    <w:rsid w:val="00323833"/>
    <w:rsid w:val="00344F5F"/>
    <w:rsid w:val="0034506B"/>
    <w:rsid w:val="00360974"/>
    <w:rsid w:val="003629E4"/>
    <w:rsid w:val="003775A3"/>
    <w:rsid w:val="00387924"/>
    <w:rsid w:val="00391641"/>
    <w:rsid w:val="00395210"/>
    <w:rsid w:val="00417538"/>
    <w:rsid w:val="004307B6"/>
    <w:rsid w:val="00440A76"/>
    <w:rsid w:val="00463F92"/>
    <w:rsid w:val="00465708"/>
    <w:rsid w:val="00474133"/>
    <w:rsid w:val="00480821"/>
    <w:rsid w:val="00495037"/>
    <w:rsid w:val="004A6F52"/>
    <w:rsid w:val="004B324F"/>
    <w:rsid w:val="004C2C92"/>
    <w:rsid w:val="004C58A0"/>
    <w:rsid w:val="004E7E9E"/>
    <w:rsid w:val="00520A3B"/>
    <w:rsid w:val="0052501F"/>
    <w:rsid w:val="00534143"/>
    <w:rsid w:val="005B4207"/>
    <w:rsid w:val="005B7A26"/>
    <w:rsid w:val="005D039B"/>
    <w:rsid w:val="00606A09"/>
    <w:rsid w:val="00642778"/>
    <w:rsid w:val="006A3889"/>
    <w:rsid w:val="006A3FBB"/>
    <w:rsid w:val="006B644B"/>
    <w:rsid w:val="006E435B"/>
    <w:rsid w:val="00714264"/>
    <w:rsid w:val="00721C2C"/>
    <w:rsid w:val="00750CBF"/>
    <w:rsid w:val="007A4B3E"/>
    <w:rsid w:val="00833AFD"/>
    <w:rsid w:val="0085171B"/>
    <w:rsid w:val="0087791A"/>
    <w:rsid w:val="00883FF9"/>
    <w:rsid w:val="00895D07"/>
    <w:rsid w:val="00897E78"/>
    <w:rsid w:val="008A01A9"/>
    <w:rsid w:val="008A0D97"/>
    <w:rsid w:val="008B1350"/>
    <w:rsid w:val="008B1A6D"/>
    <w:rsid w:val="008B3DC6"/>
    <w:rsid w:val="008C0E88"/>
    <w:rsid w:val="008D207E"/>
    <w:rsid w:val="008D3780"/>
    <w:rsid w:val="00933E70"/>
    <w:rsid w:val="00943A0E"/>
    <w:rsid w:val="009654B9"/>
    <w:rsid w:val="0098258E"/>
    <w:rsid w:val="00994E25"/>
    <w:rsid w:val="009A3389"/>
    <w:rsid w:val="009A7284"/>
    <w:rsid w:val="009B3445"/>
    <w:rsid w:val="00A07245"/>
    <w:rsid w:val="00A41CAA"/>
    <w:rsid w:val="00A844BD"/>
    <w:rsid w:val="00AB24AD"/>
    <w:rsid w:val="00AC0A6A"/>
    <w:rsid w:val="00AC5D17"/>
    <w:rsid w:val="00B405C8"/>
    <w:rsid w:val="00B40B98"/>
    <w:rsid w:val="00B70C9F"/>
    <w:rsid w:val="00B750DF"/>
    <w:rsid w:val="00B93AD7"/>
    <w:rsid w:val="00BC61A3"/>
    <w:rsid w:val="00C04A63"/>
    <w:rsid w:val="00C102A4"/>
    <w:rsid w:val="00C31A2E"/>
    <w:rsid w:val="00C56642"/>
    <w:rsid w:val="00C9761D"/>
    <w:rsid w:val="00CA286B"/>
    <w:rsid w:val="00CB6562"/>
    <w:rsid w:val="00CB7E14"/>
    <w:rsid w:val="00CF5FC1"/>
    <w:rsid w:val="00D0487E"/>
    <w:rsid w:val="00D06F83"/>
    <w:rsid w:val="00D20101"/>
    <w:rsid w:val="00D3281D"/>
    <w:rsid w:val="00D417EB"/>
    <w:rsid w:val="00D662C3"/>
    <w:rsid w:val="00D73D44"/>
    <w:rsid w:val="00D773A9"/>
    <w:rsid w:val="00D84693"/>
    <w:rsid w:val="00D84E3E"/>
    <w:rsid w:val="00DF113B"/>
    <w:rsid w:val="00E07296"/>
    <w:rsid w:val="00E557EB"/>
    <w:rsid w:val="00E65B5A"/>
    <w:rsid w:val="00E8513C"/>
    <w:rsid w:val="00EA129F"/>
    <w:rsid w:val="00EE7F60"/>
    <w:rsid w:val="00EE7FC0"/>
    <w:rsid w:val="00EF5514"/>
    <w:rsid w:val="00F128F7"/>
    <w:rsid w:val="00F4228F"/>
    <w:rsid w:val="00F468BE"/>
    <w:rsid w:val="00F514B3"/>
    <w:rsid w:val="00F60DD0"/>
    <w:rsid w:val="00F73EF9"/>
    <w:rsid w:val="00F86054"/>
    <w:rsid w:val="00F94B28"/>
    <w:rsid w:val="00F95D51"/>
    <w:rsid w:val="00FC3DDE"/>
    <w:rsid w:val="00FD0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961CB"/>
  <w15:chartTrackingRefBased/>
  <w15:docId w15:val="{2DA62D4F-99F3-4C17-A826-7F5861D1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A286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054"/>
    <w:pPr>
      <w:ind w:left="720"/>
      <w:contextualSpacing/>
    </w:pPr>
  </w:style>
  <w:style w:type="character" w:styleId="Hyperlink">
    <w:name w:val="Hyperlink"/>
    <w:basedOn w:val="DefaultParagraphFont"/>
    <w:uiPriority w:val="99"/>
    <w:unhideWhenUsed/>
    <w:rsid w:val="00CA286B"/>
    <w:rPr>
      <w:color w:val="0563C1" w:themeColor="hyperlink"/>
      <w:u w:val="single"/>
    </w:rPr>
  </w:style>
  <w:style w:type="character" w:styleId="UnresolvedMention">
    <w:name w:val="Unresolved Mention"/>
    <w:basedOn w:val="DefaultParagraphFont"/>
    <w:uiPriority w:val="99"/>
    <w:semiHidden/>
    <w:unhideWhenUsed/>
    <w:rsid w:val="00CA286B"/>
    <w:rPr>
      <w:color w:val="605E5C"/>
      <w:shd w:val="clear" w:color="auto" w:fill="E1DFDD"/>
    </w:rPr>
  </w:style>
  <w:style w:type="paragraph" w:styleId="NormalWeb">
    <w:name w:val="Normal (Web)"/>
    <w:basedOn w:val="Normal"/>
    <w:uiPriority w:val="99"/>
    <w:semiHidden/>
    <w:unhideWhenUsed/>
    <w:rsid w:val="00CA28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A286B"/>
    <w:rPr>
      <w:color w:val="954F72" w:themeColor="followedHyperlink"/>
      <w:u w:val="single"/>
    </w:rPr>
  </w:style>
  <w:style w:type="character" w:styleId="Emphasis">
    <w:name w:val="Emphasis"/>
    <w:basedOn w:val="DefaultParagraphFont"/>
    <w:uiPriority w:val="20"/>
    <w:qFormat/>
    <w:rsid w:val="00CA286B"/>
    <w:rPr>
      <w:i/>
      <w:iCs/>
    </w:rPr>
  </w:style>
  <w:style w:type="character" w:customStyle="1" w:styleId="Heading3Char">
    <w:name w:val="Heading 3 Char"/>
    <w:basedOn w:val="DefaultParagraphFont"/>
    <w:link w:val="Heading3"/>
    <w:uiPriority w:val="9"/>
    <w:rsid w:val="00CA286B"/>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semiHidden/>
    <w:unhideWhenUsed/>
    <w:rsid w:val="000D2AD0"/>
    <w:rPr>
      <w:sz w:val="16"/>
      <w:szCs w:val="16"/>
    </w:rPr>
  </w:style>
  <w:style w:type="paragraph" w:styleId="CommentText">
    <w:name w:val="annotation text"/>
    <w:basedOn w:val="Normal"/>
    <w:link w:val="CommentTextChar"/>
    <w:uiPriority w:val="99"/>
    <w:semiHidden/>
    <w:unhideWhenUsed/>
    <w:rsid w:val="000D2AD0"/>
    <w:pPr>
      <w:spacing w:line="240" w:lineRule="auto"/>
    </w:pPr>
    <w:rPr>
      <w:sz w:val="20"/>
      <w:szCs w:val="20"/>
    </w:rPr>
  </w:style>
  <w:style w:type="character" w:customStyle="1" w:styleId="CommentTextChar">
    <w:name w:val="Comment Text Char"/>
    <w:basedOn w:val="DefaultParagraphFont"/>
    <w:link w:val="CommentText"/>
    <w:uiPriority w:val="99"/>
    <w:semiHidden/>
    <w:rsid w:val="000D2AD0"/>
    <w:rPr>
      <w:sz w:val="20"/>
      <w:szCs w:val="20"/>
    </w:rPr>
  </w:style>
  <w:style w:type="paragraph" w:styleId="CommentSubject">
    <w:name w:val="annotation subject"/>
    <w:basedOn w:val="CommentText"/>
    <w:next w:val="CommentText"/>
    <w:link w:val="CommentSubjectChar"/>
    <w:uiPriority w:val="99"/>
    <w:semiHidden/>
    <w:unhideWhenUsed/>
    <w:rsid w:val="000D2AD0"/>
    <w:rPr>
      <w:b/>
      <w:bCs/>
    </w:rPr>
  </w:style>
  <w:style w:type="character" w:customStyle="1" w:styleId="CommentSubjectChar">
    <w:name w:val="Comment Subject Char"/>
    <w:basedOn w:val="CommentTextChar"/>
    <w:link w:val="CommentSubject"/>
    <w:uiPriority w:val="99"/>
    <w:semiHidden/>
    <w:rsid w:val="000D2AD0"/>
    <w:rPr>
      <w:b/>
      <w:bCs/>
      <w:sz w:val="20"/>
      <w:szCs w:val="20"/>
    </w:rPr>
  </w:style>
  <w:style w:type="paragraph" w:styleId="Header">
    <w:name w:val="header"/>
    <w:basedOn w:val="Normal"/>
    <w:link w:val="HeaderChar"/>
    <w:uiPriority w:val="99"/>
    <w:unhideWhenUsed/>
    <w:rsid w:val="00F60D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DD0"/>
  </w:style>
  <w:style w:type="paragraph" w:styleId="Footer">
    <w:name w:val="footer"/>
    <w:basedOn w:val="Normal"/>
    <w:link w:val="FooterChar"/>
    <w:uiPriority w:val="99"/>
    <w:unhideWhenUsed/>
    <w:rsid w:val="00F60D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304340">
      <w:bodyDiv w:val="1"/>
      <w:marLeft w:val="0"/>
      <w:marRight w:val="0"/>
      <w:marTop w:val="0"/>
      <w:marBottom w:val="0"/>
      <w:divBdr>
        <w:top w:val="none" w:sz="0" w:space="0" w:color="auto"/>
        <w:left w:val="none" w:sz="0" w:space="0" w:color="auto"/>
        <w:bottom w:val="none" w:sz="0" w:space="0" w:color="auto"/>
        <w:right w:val="none" w:sz="0" w:space="0" w:color="auto"/>
      </w:divBdr>
    </w:div>
    <w:div w:id="686521946">
      <w:bodyDiv w:val="1"/>
      <w:marLeft w:val="0"/>
      <w:marRight w:val="0"/>
      <w:marTop w:val="0"/>
      <w:marBottom w:val="0"/>
      <w:divBdr>
        <w:top w:val="none" w:sz="0" w:space="0" w:color="auto"/>
        <w:left w:val="none" w:sz="0" w:space="0" w:color="auto"/>
        <w:bottom w:val="none" w:sz="0" w:space="0" w:color="auto"/>
        <w:right w:val="none" w:sz="0" w:space="0" w:color="auto"/>
      </w:divBdr>
    </w:div>
    <w:div w:id="727145518">
      <w:bodyDiv w:val="1"/>
      <w:marLeft w:val="0"/>
      <w:marRight w:val="0"/>
      <w:marTop w:val="0"/>
      <w:marBottom w:val="0"/>
      <w:divBdr>
        <w:top w:val="none" w:sz="0" w:space="0" w:color="auto"/>
        <w:left w:val="none" w:sz="0" w:space="0" w:color="auto"/>
        <w:bottom w:val="none" w:sz="0" w:space="0" w:color="auto"/>
        <w:right w:val="none" w:sz="0" w:space="0" w:color="auto"/>
      </w:divBdr>
    </w:div>
    <w:div w:id="1563441376">
      <w:bodyDiv w:val="1"/>
      <w:marLeft w:val="0"/>
      <w:marRight w:val="0"/>
      <w:marTop w:val="0"/>
      <w:marBottom w:val="0"/>
      <w:divBdr>
        <w:top w:val="none" w:sz="0" w:space="0" w:color="auto"/>
        <w:left w:val="none" w:sz="0" w:space="0" w:color="auto"/>
        <w:bottom w:val="none" w:sz="0" w:space="0" w:color="auto"/>
        <w:right w:val="none" w:sz="0" w:space="0" w:color="auto"/>
      </w:divBdr>
    </w:div>
    <w:div w:id="1731886065">
      <w:bodyDiv w:val="1"/>
      <w:marLeft w:val="0"/>
      <w:marRight w:val="0"/>
      <w:marTop w:val="0"/>
      <w:marBottom w:val="0"/>
      <w:divBdr>
        <w:top w:val="none" w:sz="0" w:space="0" w:color="auto"/>
        <w:left w:val="none" w:sz="0" w:space="0" w:color="auto"/>
        <w:bottom w:val="none" w:sz="0" w:space="0" w:color="auto"/>
        <w:right w:val="none" w:sz="0" w:space="0" w:color="auto"/>
      </w:divBdr>
      <w:divsChild>
        <w:div w:id="7686565">
          <w:marLeft w:val="0"/>
          <w:marRight w:val="0"/>
          <w:marTop w:val="0"/>
          <w:marBottom w:val="0"/>
          <w:divBdr>
            <w:top w:val="none" w:sz="0" w:space="0" w:color="auto"/>
            <w:left w:val="none" w:sz="0" w:space="0" w:color="auto"/>
            <w:bottom w:val="none" w:sz="0" w:space="0" w:color="auto"/>
            <w:right w:val="none" w:sz="0" w:space="0" w:color="auto"/>
          </w:divBdr>
        </w:div>
        <w:div w:id="1555658570">
          <w:marLeft w:val="0"/>
          <w:marRight w:val="0"/>
          <w:marTop w:val="0"/>
          <w:marBottom w:val="0"/>
          <w:divBdr>
            <w:top w:val="none" w:sz="0" w:space="0" w:color="auto"/>
            <w:left w:val="none" w:sz="0" w:space="0" w:color="auto"/>
            <w:bottom w:val="none" w:sz="0" w:space="0" w:color="auto"/>
            <w:right w:val="none" w:sz="0" w:space="0" w:color="auto"/>
          </w:divBdr>
        </w:div>
        <w:div w:id="1802459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inedupcarederbyshire.co.uk/download/patient-and-public-involvement-assessment-and-planning-form/" TargetMode="External"/><Relationship Id="rId13" Type="http://schemas.openxmlformats.org/officeDocument/2006/relationships/hyperlink" Target="https://www.england.nhs.uk/wp-content/uploads/2022/09/step-1.jpg" TargetMode="Externa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joinedupcarederbyshire.co.uk/download/health-overview-and-scrutiny-committee-hosc-guidance/" TargetMode="External"/><Relationship Id="rId7" Type="http://schemas.openxmlformats.org/officeDocument/2006/relationships/endnotes" Target="endnotes.xml"/><Relationship Id="rId12" Type="http://schemas.openxmlformats.org/officeDocument/2006/relationships/hyperlink" Target="https://www.england.nhs.uk/long-read/working-in-partnership-with-people-and-communities-statutory-guidance/" TargetMode="External"/><Relationship Id="rId17" Type="http://schemas.openxmlformats.org/officeDocument/2006/relationships/hyperlink" Target="https://www.england.nhs.uk/wp-content/uploads/2022/09/step-3.jp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joinedupcarederbyshire.co.uk/download/derbyshire-wide-qia-and-eia-to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06/41/section/242"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ngland.nhs.uk/wp-content/uploads/2022/09/step-2.jpg" TargetMode="External"/><Relationship Id="rId23" Type="http://schemas.openxmlformats.org/officeDocument/2006/relationships/hyperlink" Target="https://joinedupcarederbyshire.co.uk/involving-people-communities/guide-to-working-with-people-communities/" TargetMode="External"/><Relationship Id="rId10" Type="http://schemas.openxmlformats.org/officeDocument/2006/relationships/hyperlink" Target="https://www.legislation.gov.uk/ukpga/2022/31/section/25/enacted" TargetMode="External"/><Relationship Id="rId19" Type="http://schemas.openxmlformats.org/officeDocument/2006/relationships/hyperlink" Target="https://joinedupcarederbyshire.co.uk/involving-people-communities/guide-to-working-with-people-communities/" TargetMode="External"/><Relationship Id="rId4" Type="http://schemas.openxmlformats.org/officeDocument/2006/relationships/settings" Target="settings.xml"/><Relationship Id="rId9" Type="http://schemas.openxmlformats.org/officeDocument/2006/relationships/hyperlink" Target="https://www.legislation.gov.uk/ukpga/2006/41/section/13Q" TargetMode="External"/><Relationship Id="rId14" Type="http://schemas.openxmlformats.org/officeDocument/2006/relationships/image" Target="media/image1.jpeg"/><Relationship Id="rId22" Type="http://schemas.openxmlformats.org/officeDocument/2006/relationships/hyperlink" Target="mailto:ddicb.engagement@nhs.ne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E638F-7BBA-41BB-8B24-C88906E17625}">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NECS NHS</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Karen (NHS DERBY AND DERBYSHIRE ICB - 15M)</dc:creator>
  <cp:keywords/>
  <dc:description/>
  <cp:lastModifiedBy>STUART, Mark (NHS DERBY AND DERBYSHIRE ICB - 15M)</cp:lastModifiedBy>
  <cp:revision>3</cp:revision>
  <dcterms:created xsi:type="dcterms:W3CDTF">2025-03-24T14:41:00Z</dcterms:created>
  <dcterms:modified xsi:type="dcterms:W3CDTF">2025-03-24T14:42:00Z</dcterms:modified>
</cp:coreProperties>
</file>