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EB354" w14:textId="262EE6F1" w:rsidR="00B976C5" w:rsidRPr="008D0295" w:rsidRDefault="00B976C5" w:rsidP="00984DD4">
      <w:pPr>
        <w:jc w:val="both"/>
        <w:rPr>
          <w:rFonts w:ascii="Arial" w:hAnsi="Arial" w:cs="Arial"/>
          <w:b/>
          <w:bCs/>
        </w:rPr>
      </w:pPr>
    </w:p>
    <w:p w14:paraId="57901458" w14:textId="77777777" w:rsidR="00B976C5" w:rsidRPr="008D0295" w:rsidRDefault="00B976C5" w:rsidP="00984DD4">
      <w:pPr>
        <w:spacing w:after="0"/>
        <w:jc w:val="both"/>
        <w:rPr>
          <w:rFonts w:ascii="Arial" w:hAnsi="Arial" w:cs="Arial"/>
          <w:b/>
          <w:bCs/>
        </w:rPr>
      </w:pPr>
    </w:p>
    <w:p w14:paraId="5B8A537E" w14:textId="77777777" w:rsidR="00B976C5" w:rsidRPr="008D0295" w:rsidRDefault="00B976C5" w:rsidP="00984DD4">
      <w:pPr>
        <w:spacing w:after="0"/>
        <w:jc w:val="center"/>
        <w:rPr>
          <w:rFonts w:ascii="Arial" w:hAnsi="Arial" w:cs="Arial"/>
          <w:b/>
          <w:bCs/>
        </w:rPr>
      </w:pPr>
    </w:p>
    <w:p w14:paraId="5E4B6E17" w14:textId="758B9EB5" w:rsidR="00B976C5" w:rsidRPr="008D0295" w:rsidRDefault="00B976C5" w:rsidP="00984DD4">
      <w:pPr>
        <w:spacing w:after="0"/>
        <w:jc w:val="center"/>
        <w:rPr>
          <w:rFonts w:ascii="Arial" w:hAnsi="Arial" w:cs="Arial"/>
          <w:b/>
          <w:bCs/>
        </w:rPr>
      </w:pPr>
      <w:r w:rsidRPr="008D0295">
        <w:rPr>
          <w:rFonts w:ascii="Arial" w:hAnsi="Arial" w:cs="Arial"/>
          <w:b/>
          <w:bCs/>
        </w:rPr>
        <w:t>Post</w:t>
      </w:r>
      <w:r w:rsidR="00B33CB1" w:rsidRPr="008D0295">
        <w:rPr>
          <w:rFonts w:ascii="Arial" w:hAnsi="Arial" w:cs="Arial"/>
          <w:b/>
          <w:bCs/>
        </w:rPr>
        <w:t xml:space="preserve"> (Long)</w:t>
      </w:r>
      <w:r w:rsidRPr="008D0295">
        <w:rPr>
          <w:rFonts w:ascii="Arial" w:hAnsi="Arial" w:cs="Arial"/>
          <w:b/>
          <w:bCs/>
        </w:rPr>
        <w:t xml:space="preserve"> Covid Service</w:t>
      </w:r>
    </w:p>
    <w:p w14:paraId="5903BD6D" w14:textId="14FE518A" w:rsidR="00622A0D" w:rsidRPr="008D0295" w:rsidRDefault="00B976C5" w:rsidP="00984DD4">
      <w:pPr>
        <w:spacing w:after="0"/>
        <w:jc w:val="center"/>
        <w:rPr>
          <w:rFonts w:ascii="Arial" w:hAnsi="Arial" w:cs="Arial"/>
        </w:rPr>
      </w:pPr>
      <w:r w:rsidRPr="008D0295">
        <w:rPr>
          <w:rFonts w:ascii="Arial" w:hAnsi="Arial" w:cs="Arial"/>
        </w:rPr>
        <w:t>Case for Change</w:t>
      </w:r>
    </w:p>
    <w:p w14:paraId="0ECB4CEA" w14:textId="7319E23E" w:rsidR="00B976C5" w:rsidRPr="008D0295" w:rsidRDefault="0019107C" w:rsidP="00984DD4">
      <w:pPr>
        <w:spacing w:after="0"/>
        <w:jc w:val="center"/>
        <w:rPr>
          <w:rFonts w:ascii="Arial" w:hAnsi="Arial" w:cs="Arial"/>
        </w:rPr>
      </w:pPr>
      <w:r w:rsidRPr="008D0295">
        <w:rPr>
          <w:rFonts w:ascii="Arial" w:hAnsi="Arial" w:cs="Arial"/>
        </w:rPr>
        <w:t xml:space="preserve">FINAL </w:t>
      </w:r>
      <w:r w:rsidR="00622A0D" w:rsidRPr="008D0295">
        <w:rPr>
          <w:rFonts w:ascii="Arial" w:hAnsi="Arial" w:cs="Arial"/>
        </w:rPr>
        <w:t>v</w:t>
      </w:r>
      <w:r w:rsidR="001621B1" w:rsidRPr="008D0295">
        <w:rPr>
          <w:rFonts w:ascii="Arial" w:hAnsi="Arial" w:cs="Arial"/>
        </w:rPr>
        <w:t>1.</w:t>
      </w:r>
      <w:r w:rsidR="007645CC" w:rsidRPr="008D0295">
        <w:rPr>
          <w:rFonts w:ascii="Arial" w:hAnsi="Arial" w:cs="Arial"/>
        </w:rPr>
        <w:t>5</w:t>
      </w:r>
    </w:p>
    <w:p w14:paraId="3E3B356C" w14:textId="77777777" w:rsidR="00B976C5" w:rsidRPr="008D0295" w:rsidRDefault="00B976C5" w:rsidP="00984DD4">
      <w:pPr>
        <w:jc w:val="center"/>
        <w:rPr>
          <w:rFonts w:ascii="Arial" w:hAnsi="Arial" w:cs="Arial"/>
          <w:b/>
          <w:bCs/>
        </w:rPr>
      </w:pPr>
    </w:p>
    <w:p w14:paraId="5FEBDF74" w14:textId="77777777" w:rsidR="00B976C5" w:rsidRPr="008D0295" w:rsidRDefault="00B976C5" w:rsidP="00984DD4">
      <w:pPr>
        <w:jc w:val="both"/>
        <w:rPr>
          <w:rFonts w:ascii="Arial" w:hAnsi="Arial" w:cs="Arial"/>
          <w:b/>
          <w:bCs/>
        </w:rPr>
      </w:pPr>
    </w:p>
    <w:p w14:paraId="4AA1D3D5" w14:textId="77777777" w:rsidR="00B976C5" w:rsidRPr="008D0295" w:rsidRDefault="00B976C5" w:rsidP="00984DD4">
      <w:pPr>
        <w:jc w:val="both"/>
        <w:rPr>
          <w:rFonts w:ascii="Arial" w:hAnsi="Arial" w:cs="Arial"/>
          <w:b/>
          <w:bCs/>
        </w:rPr>
      </w:pPr>
    </w:p>
    <w:p w14:paraId="1D6F7D66" w14:textId="77777777" w:rsidR="00B976C5" w:rsidRPr="008D0295" w:rsidRDefault="00B976C5" w:rsidP="00984DD4">
      <w:pPr>
        <w:jc w:val="both"/>
        <w:rPr>
          <w:rFonts w:ascii="Arial" w:hAnsi="Arial" w:cs="Arial"/>
          <w:b/>
          <w:bCs/>
        </w:rPr>
      </w:pPr>
    </w:p>
    <w:p w14:paraId="4D0F86DA" w14:textId="77777777" w:rsidR="00B976C5" w:rsidRPr="008D0295" w:rsidRDefault="00B976C5" w:rsidP="00984DD4">
      <w:pPr>
        <w:jc w:val="both"/>
        <w:rPr>
          <w:rFonts w:ascii="Arial" w:hAnsi="Arial" w:cs="Arial"/>
          <w:b/>
          <w:bCs/>
        </w:rPr>
      </w:pPr>
    </w:p>
    <w:p w14:paraId="2BCA4515" w14:textId="77777777" w:rsidR="00B976C5" w:rsidRPr="008D0295" w:rsidRDefault="00B976C5" w:rsidP="00984DD4">
      <w:pPr>
        <w:jc w:val="both"/>
        <w:rPr>
          <w:rFonts w:ascii="Arial" w:hAnsi="Arial" w:cs="Arial"/>
          <w:b/>
          <w:bCs/>
        </w:rPr>
      </w:pPr>
    </w:p>
    <w:p w14:paraId="00E2E4C5" w14:textId="77777777" w:rsidR="00B976C5" w:rsidRPr="008D0295" w:rsidRDefault="00B976C5" w:rsidP="00984DD4">
      <w:pPr>
        <w:jc w:val="both"/>
        <w:rPr>
          <w:rFonts w:ascii="Arial" w:hAnsi="Arial" w:cs="Arial"/>
          <w:b/>
          <w:bCs/>
        </w:rPr>
      </w:pPr>
    </w:p>
    <w:p w14:paraId="0F962230" w14:textId="77777777" w:rsidR="00B976C5" w:rsidRPr="008D0295" w:rsidRDefault="00B976C5" w:rsidP="00984DD4">
      <w:pPr>
        <w:jc w:val="both"/>
        <w:rPr>
          <w:rFonts w:ascii="Arial" w:hAnsi="Arial" w:cs="Arial"/>
          <w:b/>
          <w:bCs/>
        </w:rPr>
      </w:pPr>
    </w:p>
    <w:p w14:paraId="58B667AC" w14:textId="77777777" w:rsidR="00B976C5" w:rsidRPr="008D0295" w:rsidRDefault="00B976C5" w:rsidP="00984DD4">
      <w:pPr>
        <w:jc w:val="both"/>
        <w:rPr>
          <w:rFonts w:ascii="Arial" w:hAnsi="Arial" w:cs="Arial"/>
          <w:b/>
          <w:bCs/>
        </w:rPr>
      </w:pPr>
    </w:p>
    <w:p w14:paraId="603878DF" w14:textId="77777777" w:rsidR="00B976C5" w:rsidRPr="008D0295" w:rsidRDefault="00B976C5" w:rsidP="00984DD4">
      <w:pPr>
        <w:jc w:val="both"/>
        <w:rPr>
          <w:rFonts w:ascii="Arial" w:hAnsi="Arial" w:cs="Arial"/>
          <w:b/>
          <w:bCs/>
        </w:rPr>
      </w:pPr>
    </w:p>
    <w:p w14:paraId="561FA545" w14:textId="40869BE5" w:rsidR="00B976C5" w:rsidRPr="008D0295" w:rsidRDefault="00B976C5" w:rsidP="00984DD4">
      <w:pPr>
        <w:jc w:val="both"/>
        <w:rPr>
          <w:rFonts w:ascii="Arial" w:hAnsi="Arial" w:cs="Arial"/>
          <w:b/>
          <w:bCs/>
        </w:rPr>
      </w:pPr>
    </w:p>
    <w:p w14:paraId="1749B2F8" w14:textId="7FF2ACF2" w:rsidR="00B976C5" w:rsidRPr="008D0295" w:rsidRDefault="002424C2" w:rsidP="00984DD4">
      <w:pPr>
        <w:jc w:val="center"/>
        <w:rPr>
          <w:rFonts w:ascii="Arial" w:hAnsi="Arial" w:cs="Arial"/>
          <w:b/>
          <w:bCs/>
        </w:rPr>
      </w:pPr>
      <w:r w:rsidRPr="008D0295">
        <w:rPr>
          <w:rFonts w:ascii="Arial" w:hAnsi="Arial" w:cs="Arial"/>
          <w:b/>
          <w:bCs/>
        </w:rPr>
        <w:t>September 2025</w:t>
      </w:r>
    </w:p>
    <w:p w14:paraId="19398219" w14:textId="77777777" w:rsidR="00350D31" w:rsidRPr="008D0295" w:rsidRDefault="00286933" w:rsidP="00984DD4">
      <w:pPr>
        <w:pStyle w:val="TOCHeading"/>
        <w:jc w:val="center"/>
        <w:rPr>
          <w:rFonts w:cs="Arial"/>
          <w:bCs/>
          <w:sz w:val="22"/>
          <w:szCs w:val="22"/>
        </w:rPr>
      </w:pPr>
      <w:r w:rsidRPr="008D0295">
        <w:rPr>
          <w:rFonts w:cs="Arial"/>
          <w:bCs/>
          <w:sz w:val="22"/>
          <w:szCs w:val="22"/>
        </w:rPr>
        <w:br w:type="page"/>
      </w:r>
    </w:p>
    <w:sdt>
      <w:sdtPr>
        <w:rPr>
          <w:rFonts w:asciiTheme="minorHAnsi" w:eastAsiaTheme="minorHAnsi" w:hAnsiTheme="minorHAnsi" w:cs="Arial"/>
          <w:b w:val="0"/>
          <w:sz w:val="22"/>
          <w:szCs w:val="22"/>
          <w:lang w:val="en-GB"/>
        </w:rPr>
        <w:id w:val="938404268"/>
        <w:docPartObj>
          <w:docPartGallery w:val="Table of Contents"/>
          <w:docPartUnique/>
        </w:docPartObj>
      </w:sdtPr>
      <w:sdtEndPr>
        <w:rPr>
          <w:bCs/>
          <w:noProof/>
        </w:rPr>
      </w:sdtEndPr>
      <w:sdtContent>
        <w:p w14:paraId="30BBCD99" w14:textId="382FC722" w:rsidR="00300444" w:rsidRPr="008D0295" w:rsidRDefault="00300444">
          <w:pPr>
            <w:pStyle w:val="TOCHeading"/>
            <w:rPr>
              <w:rFonts w:cs="Arial"/>
              <w:sz w:val="22"/>
              <w:szCs w:val="22"/>
            </w:rPr>
          </w:pPr>
          <w:r w:rsidRPr="008D0295">
            <w:rPr>
              <w:rFonts w:cs="Arial"/>
              <w:sz w:val="22"/>
              <w:szCs w:val="22"/>
            </w:rPr>
            <w:t>Contents</w:t>
          </w:r>
        </w:p>
        <w:p w14:paraId="19CE6B88" w14:textId="7616B569" w:rsidR="009850E1" w:rsidRDefault="00300444">
          <w:pPr>
            <w:pStyle w:val="TOC1"/>
            <w:tabs>
              <w:tab w:val="right" w:leader="dot" w:pos="9016"/>
            </w:tabs>
            <w:rPr>
              <w:rFonts w:eastAsiaTheme="minorEastAsia"/>
              <w:noProof/>
              <w:kern w:val="2"/>
              <w:sz w:val="24"/>
              <w:szCs w:val="24"/>
              <w:lang w:eastAsia="en-GB"/>
              <w14:ligatures w14:val="standardContextual"/>
            </w:rPr>
          </w:pPr>
          <w:r w:rsidRPr="008D0295">
            <w:rPr>
              <w:rFonts w:ascii="Arial" w:hAnsi="Arial" w:cs="Arial"/>
            </w:rPr>
            <w:fldChar w:fldCharType="begin"/>
          </w:r>
          <w:r w:rsidRPr="008D0295">
            <w:rPr>
              <w:rFonts w:ascii="Arial" w:hAnsi="Arial" w:cs="Arial"/>
            </w:rPr>
            <w:instrText xml:space="preserve"> TOC \o "1-3" \h \z \u </w:instrText>
          </w:r>
          <w:r w:rsidRPr="008D0295">
            <w:rPr>
              <w:rFonts w:ascii="Arial" w:hAnsi="Arial" w:cs="Arial"/>
            </w:rPr>
            <w:fldChar w:fldCharType="separate"/>
          </w:r>
          <w:hyperlink w:anchor="_Toc211436393" w:history="1">
            <w:r w:rsidR="009850E1" w:rsidRPr="009B436E">
              <w:rPr>
                <w:rStyle w:val="Hyperlink"/>
                <w:noProof/>
              </w:rPr>
              <w:t>Section 1: Executive Summary</w:t>
            </w:r>
            <w:r w:rsidR="009850E1">
              <w:rPr>
                <w:noProof/>
                <w:webHidden/>
              </w:rPr>
              <w:tab/>
            </w:r>
            <w:r w:rsidR="009850E1">
              <w:rPr>
                <w:noProof/>
                <w:webHidden/>
              </w:rPr>
              <w:fldChar w:fldCharType="begin"/>
            </w:r>
            <w:r w:rsidR="009850E1">
              <w:rPr>
                <w:noProof/>
                <w:webHidden/>
              </w:rPr>
              <w:instrText xml:space="preserve"> PAGEREF _Toc211436393 \h </w:instrText>
            </w:r>
            <w:r w:rsidR="009850E1">
              <w:rPr>
                <w:noProof/>
                <w:webHidden/>
              </w:rPr>
            </w:r>
            <w:r w:rsidR="009850E1">
              <w:rPr>
                <w:noProof/>
                <w:webHidden/>
              </w:rPr>
              <w:fldChar w:fldCharType="separate"/>
            </w:r>
            <w:r w:rsidR="009850E1">
              <w:rPr>
                <w:noProof/>
                <w:webHidden/>
              </w:rPr>
              <w:t>3</w:t>
            </w:r>
            <w:r w:rsidR="009850E1">
              <w:rPr>
                <w:noProof/>
                <w:webHidden/>
              </w:rPr>
              <w:fldChar w:fldCharType="end"/>
            </w:r>
          </w:hyperlink>
        </w:p>
        <w:p w14:paraId="1EFFF216" w14:textId="3AD14027" w:rsidR="009850E1" w:rsidRDefault="009850E1">
          <w:pPr>
            <w:pStyle w:val="TOC1"/>
            <w:tabs>
              <w:tab w:val="right" w:leader="dot" w:pos="9016"/>
            </w:tabs>
            <w:rPr>
              <w:rFonts w:eastAsiaTheme="minorEastAsia"/>
              <w:noProof/>
              <w:kern w:val="2"/>
              <w:sz w:val="24"/>
              <w:szCs w:val="24"/>
              <w:lang w:eastAsia="en-GB"/>
              <w14:ligatures w14:val="standardContextual"/>
            </w:rPr>
          </w:pPr>
          <w:hyperlink w:anchor="_Toc211436394" w:history="1">
            <w:r w:rsidRPr="009B436E">
              <w:rPr>
                <w:rStyle w:val="Hyperlink"/>
                <w:noProof/>
              </w:rPr>
              <w:t>Section 2: Context</w:t>
            </w:r>
            <w:r>
              <w:rPr>
                <w:noProof/>
                <w:webHidden/>
              </w:rPr>
              <w:tab/>
            </w:r>
            <w:r>
              <w:rPr>
                <w:noProof/>
                <w:webHidden/>
              </w:rPr>
              <w:fldChar w:fldCharType="begin"/>
            </w:r>
            <w:r>
              <w:rPr>
                <w:noProof/>
                <w:webHidden/>
              </w:rPr>
              <w:instrText xml:space="preserve"> PAGEREF _Toc211436394 \h </w:instrText>
            </w:r>
            <w:r>
              <w:rPr>
                <w:noProof/>
                <w:webHidden/>
              </w:rPr>
            </w:r>
            <w:r>
              <w:rPr>
                <w:noProof/>
                <w:webHidden/>
              </w:rPr>
              <w:fldChar w:fldCharType="separate"/>
            </w:r>
            <w:r>
              <w:rPr>
                <w:noProof/>
                <w:webHidden/>
              </w:rPr>
              <w:t>3</w:t>
            </w:r>
            <w:r>
              <w:rPr>
                <w:noProof/>
                <w:webHidden/>
              </w:rPr>
              <w:fldChar w:fldCharType="end"/>
            </w:r>
          </w:hyperlink>
        </w:p>
        <w:p w14:paraId="5BF6F9E0" w14:textId="235E966D"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395" w:history="1">
            <w:r w:rsidRPr="009B436E">
              <w:rPr>
                <w:rStyle w:val="Hyperlink"/>
                <w:noProof/>
              </w:rPr>
              <w:t>2.1 Definition</w:t>
            </w:r>
            <w:r>
              <w:rPr>
                <w:noProof/>
                <w:webHidden/>
              </w:rPr>
              <w:tab/>
            </w:r>
            <w:r>
              <w:rPr>
                <w:noProof/>
                <w:webHidden/>
              </w:rPr>
              <w:fldChar w:fldCharType="begin"/>
            </w:r>
            <w:r>
              <w:rPr>
                <w:noProof/>
                <w:webHidden/>
              </w:rPr>
              <w:instrText xml:space="preserve"> PAGEREF _Toc211436395 \h </w:instrText>
            </w:r>
            <w:r>
              <w:rPr>
                <w:noProof/>
                <w:webHidden/>
              </w:rPr>
            </w:r>
            <w:r>
              <w:rPr>
                <w:noProof/>
                <w:webHidden/>
              </w:rPr>
              <w:fldChar w:fldCharType="separate"/>
            </w:r>
            <w:r>
              <w:rPr>
                <w:noProof/>
                <w:webHidden/>
              </w:rPr>
              <w:t>3</w:t>
            </w:r>
            <w:r>
              <w:rPr>
                <w:noProof/>
                <w:webHidden/>
              </w:rPr>
              <w:fldChar w:fldCharType="end"/>
            </w:r>
          </w:hyperlink>
        </w:p>
        <w:p w14:paraId="2CDCF5F2" w14:textId="484711D3"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396" w:history="1">
            <w:r w:rsidRPr="009B436E">
              <w:rPr>
                <w:rStyle w:val="Hyperlink"/>
                <w:noProof/>
              </w:rPr>
              <w:t>2.2 Post (Long) COVID Symptoms</w:t>
            </w:r>
            <w:r>
              <w:rPr>
                <w:noProof/>
                <w:webHidden/>
              </w:rPr>
              <w:tab/>
            </w:r>
            <w:r>
              <w:rPr>
                <w:noProof/>
                <w:webHidden/>
              </w:rPr>
              <w:fldChar w:fldCharType="begin"/>
            </w:r>
            <w:r>
              <w:rPr>
                <w:noProof/>
                <w:webHidden/>
              </w:rPr>
              <w:instrText xml:space="preserve"> PAGEREF _Toc211436396 \h </w:instrText>
            </w:r>
            <w:r>
              <w:rPr>
                <w:noProof/>
                <w:webHidden/>
              </w:rPr>
            </w:r>
            <w:r>
              <w:rPr>
                <w:noProof/>
                <w:webHidden/>
              </w:rPr>
              <w:fldChar w:fldCharType="separate"/>
            </w:r>
            <w:r>
              <w:rPr>
                <w:noProof/>
                <w:webHidden/>
              </w:rPr>
              <w:t>4</w:t>
            </w:r>
            <w:r>
              <w:rPr>
                <w:noProof/>
                <w:webHidden/>
              </w:rPr>
              <w:fldChar w:fldCharType="end"/>
            </w:r>
          </w:hyperlink>
        </w:p>
        <w:p w14:paraId="33D40A26" w14:textId="79B8ACB8"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397" w:history="1">
            <w:r w:rsidRPr="009B436E">
              <w:rPr>
                <w:rStyle w:val="Hyperlink"/>
                <w:noProof/>
              </w:rPr>
              <w:t>2.3 Overview of Service Implementation</w:t>
            </w:r>
            <w:r>
              <w:rPr>
                <w:noProof/>
                <w:webHidden/>
              </w:rPr>
              <w:tab/>
            </w:r>
            <w:r>
              <w:rPr>
                <w:noProof/>
                <w:webHidden/>
              </w:rPr>
              <w:fldChar w:fldCharType="begin"/>
            </w:r>
            <w:r>
              <w:rPr>
                <w:noProof/>
                <w:webHidden/>
              </w:rPr>
              <w:instrText xml:space="preserve"> PAGEREF _Toc211436397 \h </w:instrText>
            </w:r>
            <w:r>
              <w:rPr>
                <w:noProof/>
                <w:webHidden/>
              </w:rPr>
            </w:r>
            <w:r>
              <w:rPr>
                <w:noProof/>
                <w:webHidden/>
              </w:rPr>
              <w:fldChar w:fldCharType="separate"/>
            </w:r>
            <w:r>
              <w:rPr>
                <w:noProof/>
                <w:webHidden/>
              </w:rPr>
              <w:t>4</w:t>
            </w:r>
            <w:r>
              <w:rPr>
                <w:noProof/>
                <w:webHidden/>
              </w:rPr>
              <w:fldChar w:fldCharType="end"/>
            </w:r>
          </w:hyperlink>
        </w:p>
        <w:p w14:paraId="68962759" w14:textId="3ACFDA29"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398" w:history="1">
            <w:r w:rsidRPr="009B436E">
              <w:rPr>
                <w:rStyle w:val="Hyperlink"/>
                <w:noProof/>
              </w:rPr>
              <w:t>2.4 2023/24 service review</w:t>
            </w:r>
            <w:r>
              <w:rPr>
                <w:noProof/>
                <w:webHidden/>
              </w:rPr>
              <w:tab/>
            </w:r>
            <w:r>
              <w:rPr>
                <w:noProof/>
                <w:webHidden/>
              </w:rPr>
              <w:fldChar w:fldCharType="begin"/>
            </w:r>
            <w:r>
              <w:rPr>
                <w:noProof/>
                <w:webHidden/>
              </w:rPr>
              <w:instrText xml:space="preserve"> PAGEREF _Toc211436398 \h </w:instrText>
            </w:r>
            <w:r>
              <w:rPr>
                <w:noProof/>
                <w:webHidden/>
              </w:rPr>
            </w:r>
            <w:r>
              <w:rPr>
                <w:noProof/>
                <w:webHidden/>
              </w:rPr>
              <w:fldChar w:fldCharType="separate"/>
            </w:r>
            <w:r>
              <w:rPr>
                <w:noProof/>
                <w:webHidden/>
              </w:rPr>
              <w:t>5</w:t>
            </w:r>
            <w:r>
              <w:rPr>
                <w:noProof/>
                <w:webHidden/>
              </w:rPr>
              <w:fldChar w:fldCharType="end"/>
            </w:r>
          </w:hyperlink>
        </w:p>
        <w:p w14:paraId="63706F7A" w14:textId="081E6289"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399" w:history="1">
            <w:r w:rsidRPr="009B436E">
              <w:rPr>
                <w:rStyle w:val="Hyperlink"/>
                <w:noProof/>
              </w:rPr>
              <w:t>2.5 2024/25 service model</w:t>
            </w:r>
            <w:r>
              <w:rPr>
                <w:noProof/>
                <w:webHidden/>
              </w:rPr>
              <w:tab/>
            </w:r>
            <w:r>
              <w:rPr>
                <w:noProof/>
                <w:webHidden/>
              </w:rPr>
              <w:fldChar w:fldCharType="begin"/>
            </w:r>
            <w:r>
              <w:rPr>
                <w:noProof/>
                <w:webHidden/>
              </w:rPr>
              <w:instrText xml:space="preserve"> PAGEREF _Toc211436399 \h </w:instrText>
            </w:r>
            <w:r>
              <w:rPr>
                <w:noProof/>
                <w:webHidden/>
              </w:rPr>
            </w:r>
            <w:r>
              <w:rPr>
                <w:noProof/>
                <w:webHidden/>
              </w:rPr>
              <w:fldChar w:fldCharType="separate"/>
            </w:r>
            <w:r>
              <w:rPr>
                <w:noProof/>
                <w:webHidden/>
              </w:rPr>
              <w:t>6</w:t>
            </w:r>
            <w:r>
              <w:rPr>
                <w:noProof/>
                <w:webHidden/>
              </w:rPr>
              <w:fldChar w:fldCharType="end"/>
            </w:r>
          </w:hyperlink>
        </w:p>
        <w:p w14:paraId="6B71759B" w14:textId="51843F08"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0" w:history="1">
            <w:r w:rsidRPr="009B436E">
              <w:rPr>
                <w:rStyle w:val="Hyperlink"/>
                <w:noProof/>
              </w:rPr>
              <w:t>2.6 Children and Young People (CYP)</w:t>
            </w:r>
            <w:r>
              <w:rPr>
                <w:noProof/>
                <w:webHidden/>
              </w:rPr>
              <w:tab/>
            </w:r>
            <w:r>
              <w:rPr>
                <w:noProof/>
                <w:webHidden/>
              </w:rPr>
              <w:fldChar w:fldCharType="begin"/>
            </w:r>
            <w:r>
              <w:rPr>
                <w:noProof/>
                <w:webHidden/>
              </w:rPr>
              <w:instrText xml:space="preserve"> PAGEREF _Toc211436400 \h </w:instrText>
            </w:r>
            <w:r>
              <w:rPr>
                <w:noProof/>
                <w:webHidden/>
              </w:rPr>
            </w:r>
            <w:r>
              <w:rPr>
                <w:noProof/>
                <w:webHidden/>
              </w:rPr>
              <w:fldChar w:fldCharType="separate"/>
            </w:r>
            <w:r>
              <w:rPr>
                <w:noProof/>
                <w:webHidden/>
              </w:rPr>
              <w:t>8</w:t>
            </w:r>
            <w:r>
              <w:rPr>
                <w:noProof/>
                <w:webHidden/>
              </w:rPr>
              <w:fldChar w:fldCharType="end"/>
            </w:r>
          </w:hyperlink>
        </w:p>
        <w:p w14:paraId="7AB9B6CA" w14:textId="2AB494EE"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1" w:history="1">
            <w:r w:rsidRPr="009B436E">
              <w:rPr>
                <w:rStyle w:val="Hyperlink"/>
                <w:noProof/>
              </w:rPr>
              <w:t>2.7 Providers of the service</w:t>
            </w:r>
            <w:r>
              <w:rPr>
                <w:noProof/>
                <w:webHidden/>
              </w:rPr>
              <w:tab/>
            </w:r>
            <w:r>
              <w:rPr>
                <w:noProof/>
                <w:webHidden/>
              </w:rPr>
              <w:fldChar w:fldCharType="begin"/>
            </w:r>
            <w:r>
              <w:rPr>
                <w:noProof/>
                <w:webHidden/>
              </w:rPr>
              <w:instrText xml:space="preserve"> PAGEREF _Toc211436401 \h </w:instrText>
            </w:r>
            <w:r>
              <w:rPr>
                <w:noProof/>
                <w:webHidden/>
              </w:rPr>
            </w:r>
            <w:r>
              <w:rPr>
                <w:noProof/>
                <w:webHidden/>
              </w:rPr>
              <w:fldChar w:fldCharType="separate"/>
            </w:r>
            <w:r>
              <w:rPr>
                <w:noProof/>
                <w:webHidden/>
              </w:rPr>
              <w:t>9</w:t>
            </w:r>
            <w:r>
              <w:rPr>
                <w:noProof/>
                <w:webHidden/>
              </w:rPr>
              <w:fldChar w:fldCharType="end"/>
            </w:r>
          </w:hyperlink>
        </w:p>
        <w:p w14:paraId="41A64A69" w14:textId="7106CA0D"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2" w:history="1">
            <w:r w:rsidRPr="009B436E">
              <w:rPr>
                <w:rStyle w:val="Hyperlink"/>
                <w:noProof/>
              </w:rPr>
              <w:t>2.8 Finances</w:t>
            </w:r>
            <w:r>
              <w:rPr>
                <w:noProof/>
                <w:webHidden/>
              </w:rPr>
              <w:tab/>
            </w:r>
            <w:r>
              <w:rPr>
                <w:noProof/>
                <w:webHidden/>
              </w:rPr>
              <w:fldChar w:fldCharType="begin"/>
            </w:r>
            <w:r>
              <w:rPr>
                <w:noProof/>
                <w:webHidden/>
              </w:rPr>
              <w:instrText xml:space="preserve"> PAGEREF _Toc211436402 \h </w:instrText>
            </w:r>
            <w:r>
              <w:rPr>
                <w:noProof/>
                <w:webHidden/>
              </w:rPr>
            </w:r>
            <w:r>
              <w:rPr>
                <w:noProof/>
                <w:webHidden/>
              </w:rPr>
              <w:fldChar w:fldCharType="separate"/>
            </w:r>
            <w:r>
              <w:rPr>
                <w:noProof/>
                <w:webHidden/>
              </w:rPr>
              <w:t>9</w:t>
            </w:r>
            <w:r>
              <w:rPr>
                <w:noProof/>
                <w:webHidden/>
              </w:rPr>
              <w:fldChar w:fldCharType="end"/>
            </w:r>
          </w:hyperlink>
        </w:p>
        <w:p w14:paraId="23816EB2" w14:textId="1E65A0D5"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3" w:history="1">
            <w:r w:rsidRPr="009B436E">
              <w:rPr>
                <w:rStyle w:val="Hyperlink"/>
                <w:noProof/>
              </w:rPr>
              <w:t>2.9 Service Performance Data</w:t>
            </w:r>
            <w:r>
              <w:rPr>
                <w:noProof/>
                <w:webHidden/>
              </w:rPr>
              <w:tab/>
            </w:r>
            <w:r>
              <w:rPr>
                <w:noProof/>
                <w:webHidden/>
              </w:rPr>
              <w:fldChar w:fldCharType="begin"/>
            </w:r>
            <w:r>
              <w:rPr>
                <w:noProof/>
                <w:webHidden/>
              </w:rPr>
              <w:instrText xml:space="preserve"> PAGEREF _Toc211436403 \h </w:instrText>
            </w:r>
            <w:r>
              <w:rPr>
                <w:noProof/>
                <w:webHidden/>
              </w:rPr>
            </w:r>
            <w:r>
              <w:rPr>
                <w:noProof/>
                <w:webHidden/>
              </w:rPr>
              <w:fldChar w:fldCharType="separate"/>
            </w:r>
            <w:r>
              <w:rPr>
                <w:noProof/>
                <w:webHidden/>
              </w:rPr>
              <w:t>9</w:t>
            </w:r>
            <w:r>
              <w:rPr>
                <w:noProof/>
                <w:webHidden/>
              </w:rPr>
              <w:fldChar w:fldCharType="end"/>
            </w:r>
          </w:hyperlink>
        </w:p>
        <w:p w14:paraId="37806042" w14:textId="5E968B2B"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4" w:history="1">
            <w:r w:rsidRPr="009B436E">
              <w:rPr>
                <w:rStyle w:val="Hyperlink"/>
                <w:noProof/>
              </w:rPr>
              <w:t>2.10 Patient Experience</w:t>
            </w:r>
            <w:r>
              <w:rPr>
                <w:noProof/>
                <w:webHidden/>
              </w:rPr>
              <w:tab/>
            </w:r>
            <w:r>
              <w:rPr>
                <w:noProof/>
                <w:webHidden/>
              </w:rPr>
              <w:fldChar w:fldCharType="begin"/>
            </w:r>
            <w:r>
              <w:rPr>
                <w:noProof/>
                <w:webHidden/>
              </w:rPr>
              <w:instrText xml:space="preserve"> PAGEREF _Toc211436404 \h </w:instrText>
            </w:r>
            <w:r>
              <w:rPr>
                <w:noProof/>
                <w:webHidden/>
              </w:rPr>
            </w:r>
            <w:r>
              <w:rPr>
                <w:noProof/>
                <w:webHidden/>
              </w:rPr>
              <w:fldChar w:fldCharType="separate"/>
            </w:r>
            <w:r>
              <w:rPr>
                <w:noProof/>
                <w:webHidden/>
              </w:rPr>
              <w:t>11</w:t>
            </w:r>
            <w:r>
              <w:rPr>
                <w:noProof/>
                <w:webHidden/>
              </w:rPr>
              <w:fldChar w:fldCharType="end"/>
            </w:r>
          </w:hyperlink>
        </w:p>
        <w:p w14:paraId="52F9834A" w14:textId="6F875AD5" w:rsidR="009850E1" w:rsidRDefault="009850E1">
          <w:pPr>
            <w:pStyle w:val="TOC1"/>
            <w:tabs>
              <w:tab w:val="right" w:leader="dot" w:pos="9016"/>
            </w:tabs>
            <w:rPr>
              <w:rFonts w:eastAsiaTheme="minorEastAsia"/>
              <w:noProof/>
              <w:kern w:val="2"/>
              <w:sz w:val="24"/>
              <w:szCs w:val="24"/>
              <w:lang w:eastAsia="en-GB"/>
              <w14:ligatures w14:val="standardContextual"/>
            </w:rPr>
          </w:pPr>
          <w:hyperlink w:anchor="_Toc211436405" w:history="1">
            <w:r w:rsidRPr="009B436E">
              <w:rPr>
                <w:rStyle w:val="Hyperlink"/>
                <w:noProof/>
              </w:rPr>
              <w:t>Section 3: Needs of the Population</w:t>
            </w:r>
            <w:r>
              <w:rPr>
                <w:noProof/>
                <w:webHidden/>
              </w:rPr>
              <w:tab/>
            </w:r>
            <w:r>
              <w:rPr>
                <w:noProof/>
                <w:webHidden/>
              </w:rPr>
              <w:fldChar w:fldCharType="begin"/>
            </w:r>
            <w:r>
              <w:rPr>
                <w:noProof/>
                <w:webHidden/>
              </w:rPr>
              <w:instrText xml:space="preserve"> PAGEREF _Toc211436405 \h </w:instrText>
            </w:r>
            <w:r>
              <w:rPr>
                <w:noProof/>
                <w:webHidden/>
              </w:rPr>
            </w:r>
            <w:r>
              <w:rPr>
                <w:noProof/>
                <w:webHidden/>
              </w:rPr>
              <w:fldChar w:fldCharType="separate"/>
            </w:r>
            <w:r>
              <w:rPr>
                <w:noProof/>
                <w:webHidden/>
              </w:rPr>
              <w:t>12</w:t>
            </w:r>
            <w:r>
              <w:rPr>
                <w:noProof/>
                <w:webHidden/>
              </w:rPr>
              <w:fldChar w:fldCharType="end"/>
            </w:r>
          </w:hyperlink>
        </w:p>
        <w:p w14:paraId="492E9A61" w14:textId="4A1C8E27"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6" w:history="1">
            <w:r w:rsidRPr="009B436E">
              <w:rPr>
                <w:rStyle w:val="Hyperlink"/>
                <w:noProof/>
              </w:rPr>
              <w:t>3.1 Prevalence of ongoing symptoms following COVID-19 infection in the UK</w:t>
            </w:r>
            <w:r>
              <w:rPr>
                <w:noProof/>
                <w:webHidden/>
              </w:rPr>
              <w:tab/>
            </w:r>
            <w:r>
              <w:rPr>
                <w:noProof/>
                <w:webHidden/>
              </w:rPr>
              <w:fldChar w:fldCharType="begin"/>
            </w:r>
            <w:r>
              <w:rPr>
                <w:noProof/>
                <w:webHidden/>
              </w:rPr>
              <w:instrText xml:space="preserve"> PAGEREF _Toc211436406 \h </w:instrText>
            </w:r>
            <w:r>
              <w:rPr>
                <w:noProof/>
                <w:webHidden/>
              </w:rPr>
            </w:r>
            <w:r>
              <w:rPr>
                <w:noProof/>
                <w:webHidden/>
              </w:rPr>
              <w:fldChar w:fldCharType="separate"/>
            </w:r>
            <w:r>
              <w:rPr>
                <w:noProof/>
                <w:webHidden/>
              </w:rPr>
              <w:t>12</w:t>
            </w:r>
            <w:r>
              <w:rPr>
                <w:noProof/>
                <w:webHidden/>
              </w:rPr>
              <w:fldChar w:fldCharType="end"/>
            </w:r>
          </w:hyperlink>
        </w:p>
        <w:p w14:paraId="1BE555AE" w14:textId="711D4885"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7" w:history="1">
            <w:r w:rsidRPr="009B436E">
              <w:rPr>
                <w:rStyle w:val="Hyperlink"/>
                <w:noProof/>
              </w:rPr>
              <w:t>3.2 Health Inequalities</w:t>
            </w:r>
            <w:r>
              <w:rPr>
                <w:noProof/>
                <w:webHidden/>
              </w:rPr>
              <w:tab/>
            </w:r>
            <w:r>
              <w:rPr>
                <w:noProof/>
                <w:webHidden/>
              </w:rPr>
              <w:fldChar w:fldCharType="begin"/>
            </w:r>
            <w:r>
              <w:rPr>
                <w:noProof/>
                <w:webHidden/>
              </w:rPr>
              <w:instrText xml:space="preserve"> PAGEREF _Toc211436407 \h </w:instrText>
            </w:r>
            <w:r>
              <w:rPr>
                <w:noProof/>
                <w:webHidden/>
              </w:rPr>
            </w:r>
            <w:r>
              <w:rPr>
                <w:noProof/>
                <w:webHidden/>
              </w:rPr>
              <w:fldChar w:fldCharType="separate"/>
            </w:r>
            <w:r>
              <w:rPr>
                <w:noProof/>
                <w:webHidden/>
              </w:rPr>
              <w:t>13</w:t>
            </w:r>
            <w:r>
              <w:rPr>
                <w:noProof/>
                <w:webHidden/>
              </w:rPr>
              <w:fldChar w:fldCharType="end"/>
            </w:r>
          </w:hyperlink>
        </w:p>
        <w:p w14:paraId="4814B0E7" w14:textId="0090927C" w:rsidR="009850E1" w:rsidRDefault="009850E1">
          <w:pPr>
            <w:pStyle w:val="TOC1"/>
            <w:tabs>
              <w:tab w:val="right" w:leader="dot" w:pos="9016"/>
            </w:tabs>
            <w:rPr>
              <w:rFonts w:eastAsiaTheme="minorEastAsia"/>
              <w:noProof/>
              <w:kern w:val="2"/>
              <w:sz w:val="24"/>
              <w:szCs w:val="24"/>
              <w:lang w:eastAsia="en-GB"/>
              <w14:ligatures w14:val="standardContextual"/>
            </w:rPr>
          </w:pPr>
          <w:hyperlink w:anchor="_Toc211436408" w:history="1">
            <w:r w:rsidRPr="009B436E">
              <w:rPr>
                <w:rStyle w:val="Hyperlink"/>
                <w:noProof/>
              </w:rPr>
              <w:t>Section 4: Key Challenges</w:t>
            </w:r>
            <w:r>
              <w:rPr>
                <w:noProof/>
                <w:webHidden/>
              </w:rPr>
              <w:tab/>
            </w:r>
            <w:r>
              <w:rPr>
                <w:noProof/>
                <w:webHidden/>
              </w:rPr>
              <w:fldChar w:fldCharType="begin"/>
            </w:r>
            <w:r>
              <w:rPr>
                <w:noProof/>
                <w:webHidden/>
              </w:rPr>
              <w:instrText xml:space="preserve"> PAGEREF _Toc211436408 \h </w:instrText>
            </w:r>
            <w:r>
              <w:rPr>
                <w:noProof/>
                <w:webHidden/>
              </w:rPr>
            </w:r>
            <w:r>
              <w:rPr>
                <w:noProof/>
                <w:webHidden/>
              </w:rPr>
              <w:fldChar w:fldCharType="separate"/>
            </w:r>
            <w:r>
              <w:rPr>
                <w:noProof/>
                <w:webHidden/>
              </w:rPr>
              <w:t>16</w:t>
            </w:r>
            <w:r>
              <w:rPr>
                <w:noProof/>
                <w:webHidden/>
              </w:rPr>
              <w:fldChar w:fldCharType="end"/>
            </w:r>
          </w:hyperlink>
        </w:p>
        <w:p w14:paraId="5CD36CB3" w14:textId="3230763F"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09" w:history="1">
            <w:r w:rsidRPr="009B436E">
              <w:rPr>
                <w:rStyle w:val="Hyperlink"/>
                <w:noProof/>
              </w:rPr>
              <w:t>4.1 Reduction in referrals &amp; demand</w:t>
            </w:r>
            <w:r>
              <w:rPr>
                <w:noProof/>
                <w:webHidden/>
              </w:rPr>
              <w:tab/>
            </w:r>
            <w:r>
              <w:rPr>
                <w:noProof/>
                <w:webHidden/>
              </w:rPr>
              <w:fldChar w:fldCharType="begin"/>
            </w:r>
            <w:r>
              <w:rPr>
                <w:noProof/>
                <w:webHidden/>
              </w:rPr>
              <w:instrText xml:space="preserve"> PAGEREF _Toc211436409 \h </w:instrText>
            </w:r>
            <w:r>
              <w:rPr>
                <w:noProof/>
                <w:webHidden/>
              </w:rPr>
            </w:r>
            <w:r>
              <w:rPr>
                <w:noProof/>
                <w:webHidden/>
              </w:rPr>
              <w:fldChar w:fldCharType="separate"/>
            </w:r>
            <w:r>
              <w:rPr>
                <w:noProof/>
                <w:webHidden/>
              </w:rPr>
              <w:t>16</w:t>
            </w:r>
            <w:r>
              <w:rPr>
                <w:noProof/>
                <w:webHidden/>
              </w:rPr>
              <w:fldChar w:fldCharType="end"/>
            </w:r>
          </w:hyperlink>
        </w:p>
        <w:p w14:paraId="35FE069D" w14:textId="79098904"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0" w:history="1">
            <w:r w:rsidRPr="009B436E">
              <w:rPr>
                <w:rStyle w:val="Hyperlink"/>
                <w:noProof/>
              </w:rPr>
              <w:t>4.2 Workforce recruitment and retention</w:t>
            </w:r>
            <w:r>
              <w:rPr>
                <w:noProof/>
                <w:webHidden/>
              </w:rPr>
              <w:tab/>
            </w:r>
            <w:r>
              <w:rPr>
                <w:noProof/>
                <w:webHidden/>
              </w:rPr>
              <w:fldChar w:fldCharType="begin"/>
            </w:r>
            <w:r>
              <w:rPr>
                <w:noProof/>
                <w:webHidden/>
              </w:rPr>
              <w:instrText xml:space="preserve"> PAGEREF _Toc211436410 \h </w:instrText>
            </w:r>
            <w:r>
              <w:rPr>
                <w:noProof/>
                <w:webHidden/>
              </w:rPr>
            </w:r>
            <w:r>
              <w:rPr>
                <w:noProof/>
                <w:webHidden/>
              </w:rPr>
              <w:fldChar w:fldCharType="separate"/>
            </w:r>
            <w:r>
              <w:rPr>
                <w:noProof/>
                <w:webHidden/>
              </w:rPr>
              <w:t>17</w:t>
            </w:r>
            <w:r>
              <w:rPr>
                <w:noProof/>
                <w:webHidden/>
              </w:rPr>
              <w:fldChar w:fldCharType="end"/>
            </w:r>
          </w:hyperlink>
        </w:p>
        <w:p w14:paraId="6D508AFA" w14:textId="3DF81E92"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1" w:history="1">
            <w:r w:rsidRPr="009B436E">
              <w:rPr>
                <w:rStyle w:val="Hyperlink"/>
                <w:noProof/>
              </w:rPr>
              <w:t>4.3 Caseload</w:t>
            </w:r>
            <w:r>
              <w:rPr>
                <w:noProof/>
                <w:webHidden/>
              </w:rPr>
              <w:tab/>
            </w:r>
            <w:r>
              <w:rPr>
                <w:noProof/>
                <w:webHidden/>
              </w:rPr>
              <w:fldChar w:fldCharType="begin"/>
            </w:r>
            <w:r>
              <w:rPr>
                <w:noProof/>
                <w:webHidden/>
              </w:rPr>
              <w:instrText xml:space="preserve"> PAGEREF _Toc211436411 \h </w:instrText>
            </w:r>
            <w:r>
              <w:rPr>
                <w:noProof/>
                <w:webHidden/>
              </w:rPr>
            </w:r>
            <w:r>
              <w:rPr>
                <w:noProof/>
                <w:webHidden/>
              </w:rPr>
              <w:fldChar w:fldCharType="separate"/>
            </w:r>
            <w:r>
              <w:rPr>
                <w:noProof/>
                <w:webHidden/>
              </w:rPr>
              <w:t>18</w:t>
            </w:r>
            <w:r>
              <w:rPr>
                <w:noProof/>
                <w:webHidden/>
              </w:rPr>
              <w:fldChar w:fldCharType="end"/>
            </w:r>
          </w:hyperlink>
        </w:p>
        <w:p w14:paraId="45F07FC6" w14:textId="5674A860"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2" w:history="1">
            <w:r w:rsidRPr="009B436E">
              <w:rPr>
                <w:rStyle w:val="Hyperlink"/>
                <w:noProof/>
              </w:rPr>
              <w:t>4.4 Revised pathway not in line with NHSE guidelines</w:t>
            </w:r>
            <w:r>
              <w:rPr>
                <w:noProof/>
                <w:webHidden/>
              </w:rPr>
              <w:tab/>
            </w:r>
            <w:r>
              <w:rPr>
                <w:noProof/>
                <w:webHidden/>
              </w:rPr>
              <w:fldChar w:fldCharType="begin"/>
            </w:r>
            <w:r>
              <w:rPr>
                <w:noProof/>
                <w:webHidden/>
              </w:rPr>
              <w:instrText xml:space="preserve"> PAGEREF _Toc211436412 \h </w:instrText>
            </w:r>
            <w:r>
              <w:rPr>
                <w:noProof/>
                <w:webHidden/>
              </w:rPr>
            </w:r>
            <w:r>
              <w:rPr>
                <w:noProof/>
                <w:webHidden/>
              </w:rPr>
              <w:fldChar w:fldCharType="separate"/>
            </w:r>
            <w:r>
              <w:rPr>
                <w:noProof/>
                <w:webHidden/>
              </w:rPr>
              <w:t>18</w:t>
            </w:r>
            <w:r>
              <w:rPr>
                <w:noProof/>
                <w:webHidden/>
              </w:rPr>
              <w:fldChar w:fldCharType="end"/>
            </w:r>
          </w:hyperlink>
        </w:p>
        <w:p w14:paraId="36629896" w14:textId="5958695B" w:rsidR="009850E1" w:rsidRDefault="009850E1">
          <w:pPr>
            <w:pStyle w:val="TOC1"/>
            <w:tabs>
              <w:tab w:val="right" w:leader="dot" w:pos="9016"/>
            </w:tabs>
            <w:rPr>
              <w:rFonts w:eastAsiaTheme="minorEastAsia"/>
              <w:noProof/>
              <w:kern w:val="2"/>
              <w:sz w:val="24"/>
              <w:szCs w:val="24"/>
              <w:lang w:eastAsia="en-GB"/>
              <w14:ligatures w14:val="standardContextual"/>
            </w:rPr>
          </w:pPr>
          <w:hyperlink w:anchor="_Toc211436413" w:history="1">
            <w:r w:rsidRPr="009B436E">
              <w:rPr>
                <w:rStyle w:val="Hyperlink"/>
                <w:noProof/>
              </w:rPr>
              <w:t>Section 5: Opportunities for Change</w:t>
            </w:r>
            <w:r>
              <w:rPr>
                <w:noProof/>
                <w:webHidden/>
              </w:rPr>
              <w:tab/>
            </w:r>
            <w:r>
              <w:rPr>
                <w:noProof/>
                <w:webHidden/>
              </w:rPr>
              <w:fldChar w:fldCharType="begin"/>
            </w:r>
            <w:r>
              <w:rPr>
                <w:noProof/>
                <w:webHidden/>
              </w:rPr>
              <w:instrText xml:space="preserve"> PAGEREF _Toc211436413 \h </w:instrText>
            </w:r>
            <w:r>
              <w:rPr>
                <w:noProof/>
                <w:webHidden/>
              </w:rPr>
            </w:r>
            <w:r>
              <w:rPr>
                <w:noProof/>
                <w:webHidden/>
              </w:rPr>
              <w:fldChar w:fldCharType="separate"/>
            </w:r>
            <w:r>
              <w:rPr>
                <w:noProof/>
                <w:webHidden/>
              </w:rPr>
              <w:t>18</w:t>
            </w:r>
            <w:r>
              <w:rPr>
                <w:noProof/>
                <w:webHidden/>
              </w:rPr>
              <w:fldChar w:fldCharType="end"/>
            </w:r>
          </w:hyperlink>
        </w:p>
        <w:p w14:paraId="7F847B2B" w14:textId="2913D8F7"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4" w:history="1">
            <w:r w:rsidRPr="009B436E">
              <w:rPr>
                <w:rStyle w:val="Hyperlink"/>
                <w:noProof/>
              </w:rPr>
              <w:t>5.1 Service Opportunities</w:t>
            </w:r>
            <w:r>
              <w:rPr>
                <w:noProof/>
                <w:webHidden/>
              </w:rPr>
              <w:tab/>
            </w:r>
            <w:r>
              <w:rPr>
                <w:noProof/>
                <w:webHidden/>
              </w:rPr>
              <w:fldChar w:fldCharType="begin"/>
            </w:r>
            <w:r>
              <w:rPr>
                <w:noProof/>
                <w:webHidden/>
              </w:rPr>
              <w:instrText xml:space="preserve"> PAGEREF _Toc211436414 \h </w:instrText>
            </w:r>
            <w:r>
              <w:rPr>
                <w:noProof/>
                <w:webHidden/>
              </w:rPr>
            </w:r>
            <w:r>
              <w:rPr>
                <w:noProof/>
                <w:webHidden/>
              </w:rPr>
              <w:fldChar w:fldCharType="separate"/>
            </w:r>
            <w:r>
              <w:rPr>
                <w:noProof/>
                <w:webHidden/>
              </w:rPr>
              <w:t>18</w:t>
            </w:r>
            <w:r>
              <w:rPr>
                <w:noProof/>
                <w:webHidden/>
              </w:rPr>
              <w:fldChar w:fldCharType="end"/>
            </w:r>
          </w:hyperlink>
        </w:p>
        <w:p w14:paraId="1876282B" w14:textId="6E99BC0F"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5" w:history="1">
            <w:r w:rsidRPr="009B436E">
              <w:rPr>
                <w:rStyle w:val="Hyperlink"/>
                <w:noProof/>
              </w:rPr>
              <w:t>5.2 Patient and Public Engagement</w:t>
            </w:r>
            <w:r>
              <w:rPr>
                <w:noProof/>
                <w:webHidden/>
              </w:rPr>
              <w:tab/>
            </w:r>
            <w:r>
              <w:rPr>
                <w:noProof/>
                <w:webHidden/>
              </w:rPr>
              <w:fldChar w:fldCharType="begin"/>
            </w:r>
            <w:r>
              <w:rPr>
                <w:noProof/>
                <w:webHidden/>
              </w:rPr>
              <w:instrText xml:space="preserve"> PAGEREF _Toc211436415 \h </w:instrText>
            </w:r>
            <w:r>
              <w:rPr>
                <w:noProof/>
                <w:webHidden/>
              </w:rPr>
            </w:r>
            <w:r>
              <w:rPr>
                <w:noProof/>
                <w:webHidden/>
              </w:rPr>
              <w:fldChar w:fldCharType="separate"/>
            </w:r>
            <w:r>
              <w:rPr>
                <w:noProof/>
                <w:webHidden/>
              </w:rPr>
              <w:t>18</w:t>
            </w:r>
            <w:r>
              <w:rPr>
                <w:noProof/>
                <w:webHidden/>
              </w:rPr>
              <w:fldChar w:fldCharType="end"/>
            </w:r>
          </w:hyperlink>
        </w:p>
        <w:p w14:paraId="07EFC3BB" w14:textId="4AB5F801"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6" w:history="1">
            <w:r w:rsidRPr="009B436E">
              <w:rPr>
                <w:rStyle w:val="Hyperlink"/>
                <w:noProof/>
              </w:rPr>
              <w:t>5.3 Quality Equality Impact Assessments</w:t>
            </w:r>
            <w:r>
              <w:rPr>
                <w:noProof/>
                <w:webHidden/>
              </w:rPr>
              <w:tab/>
            </w:r>
            <w:r>
              <w:rPr>
                <w:noProof/>
                <w:webHidden/>
              </w:rPr>
              <w:fldChar w:fldCharType="begin"/>
            </w:r>
            <w:r>
              <w:rPr>
                <w:noProof/>
                <w:webHidden/>
              </w:rPr>
              <w:instrText xml:space="preserve"> PAGEREF _Toc211436416 \h </w:instrText>
            </w:r>
            <w:r>
              <w:rPr>
                <w:noProof/>
                <w:webHidden/>
              </w:rPr>
            </w:r>
            <w:r>
              <w:rPr>
                <w:noProof/>
                <w:webHidden/>
              </w:rPr>
              <w:fldChar w:fldCharType="separate"/>
            </w:r>
            <w:r>
              <w:rPr>
                <w:noProof/>
                <w:webHidden/>
              </w:rPr>
              <w:t>20</w:t>
            </w:r>
            <w:r>
              <w:rPr>
                <w:noProof/>
                <w:webHidden/>
              </w:rPr>
              <w:fldChar w:fldCharType="end"/>
            </w:r>
          </w:hyperlink>
        </w:p>
        <w:p w14:paraId="143482B3" w14:textId="6726E4A7"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7" w:history="1">
            <w:r w:rsidRPr="009B436E">
              <w:rPr>
                <w:rStyle w:val="Hyperlink"/>
                <w:noProof/>
              </w:rPr>
              <w:t>5.4 Commissioning Guidance for Post (Long) COVID services, for adults, children and young people</w:t>
            </w:r>
            <w:r>
              <w:rPr>
                <w:noProof/>
                <w:webHidden/>
              </w:rPr>
              <w:tab/>
            </w:r>
            <w:r>
              <w:rPr>
                <w:noProof/>
                <w:webHidden/>
              </w:rPr>
              <w:fldChar w:fldCharType="begin"/>
            </w:r>
            <w:r>
              <w:rPr>
                <w:noProof/>
                <w:webHidden/>
              </w:rPr>
              <w:instrText xml:space="preserve"> PAGEREF _Toc211436417 \h </w:instrText>
            </w:r>
            <w:r>
              <w:rPr>
                <w:noProof/>
                <w:webHidden/>
              </w:rPr>
            </w:r>
            <w:r>
              <w:rPr>
                <w:noProof/>
                <w:webHidden/>
              </w:rPr>
              <w:fldChar w:fldCharType="separate"/>
            </w:r>
            <w:r>
              <w:rPr>
                <w:noProof/>
                <w:webHidden/>
              </w:rPr>
              <w:t>20</w:t>
            </w:r>
            <w:r>
              <w:rPr>
                <w:noProof/>
                <w:webHidden/>
              </w:rPr>
              <w:fldChar w:fldCharType="end"/>
            </w:r>
          </w:hyperlink>
        </w:p>
        <w:p w14:paraId="3D86D57C" w14:textId="6B74DD8E" w:rsidR="009850E1" w:rsidRDefault="009850E1">
          <w:pPr>
            <w:pStyle w:val="TOC1"/>
            <w:tabs>
              <w:tab w:val="right" w:leader="dot" w:pos="9016"/>
            </w:tabs>
            <w:rPr>
              <w:rFonts w:eastAsiaTheme="minorEastAsia"/>
              <w:noProof/>
              <w:kern w:val="2"/>
              <w:sz w:val="24"/>
              <w:szCs w:val="24"/>
              <w:lang w:eastAsia="en-GB"/>
              <w14:ligatures w14:val="standardContextual"/>
            </w:rPr>
          </w:pPr>
          <w:hyperlink w:anchor="_Toc211436418" w:history="1">
            <w:r w:rsidRPr="009B436E">
              <w:rPr>
                <w:rStyle w:val="Hyperlink"/>
                <w:noProof/>
              </w:rPr>
              <w:t>Section 6: Vision and Next Steps</w:t>
            </w:r>
            <w:r>
              <w:rPr>
                <w:noProof/>
                <w:webHidden/>
              </w:rPr>
              <w:tab/>
            </w:r>
            <w:r>
              <w:rPr>
                <w:noProof/>
                <w:webHidden/>
              </w:rPr>
              <w:fldChar w:fldCharType="begin"/>
            </w:r>
            <w:r>
              <w:rPr>
                <w:noProof/>
                <w:webHidden/>
              </w:rPr>
              <w:instrText xml:space="preserve"> PAGEREF _Toc211436418 \h </w:instrText>
            </w:r>
            <w:r>
              <w:rPr>
                <w:noProof/>
                <w:webHidden/>
              </w:rPr>
            </w:r>
            <w:r>
              <w:rPr>
                <w:noProof/>
                <w:webHidden/>
              </w:rPr>
              <w:fldChar w:fldCharType="separate"/>
            </w:r>
            <w:r>
              <w:rPr>
                <w:noProof/>
                <w:webHidden/>
              </w:rPr>
              <w:t>21</w:t>
            </w:r>
            <w:r>
              <w:rPr>
                <w:noProof/>
                <w:webHidden/>
              </w:rPr>
              <w:fldChar w:fldCharType="end"/>
            </w:r>
          </w:hyperlink>
        </w:p>
        <w:p w14:paraId="78B8C252" w14:textId="124AB2CA"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19" w:history="1">
            <w:r w:rsidRPr="009B436E">
              <w:rPr>
                <w:rStyle w:val="Hyperlink"/>
                <w:noProof/>
              </w:rPr>
              <w:t>6.1 The Vision</w:t>
            </w:r>
            <w:r>
              <w:rPr>
                <w:noProof/>
                <w:webHidden/>
              </w:rPr>
              <w:tab/>
            </w:r>
            <w:r>
              <w:rPr>
                <w:noProof/>
                <w:webHidden/>
              </w:rPr>
              <w:fldChar w:fldCharType="begin"/>
            </w:r>
            <w:r>
              <w:rPr>
                <w:noProof/>
                <w:webHidden/>
              </w:rPr>
              <w:instrText xml:space="preserve"> PAGEREF _Toc211436419 \h </w:instrText>
            </w:r>
            <w:r>
              <w:rPr>
                <w:noProof/>
                <w:webHidden/>
              </w:rPr>
            </w:r>
            <w:r>
              <w:rPr>
                <w:noProof/>
                <w:webHidden/>
              </w:rPr>
              <w:fldChar w:fldCharType="separate"/>
            </w:r>
            <w:r>
              <w:rPr>
                <w:noProof/>
                <w:webHidden/>
              </w:rPr>
              <w:t>21</w:t>
            </w:r>
            <w:r>
              <w:rPr>
                <w:noProof/>
                <w:webHidden/>
              </w:rPr>
              <w:fldChar w:fldCharType="end"/>
            </w:r>
          </w:hyperlink>
        </w:p>
        <w:p w14:paraId="6303C08B" w14:textId="2DD9FEDE" w:rsidR="009850E1" w:rsidRDefault="009850E1">
          <w:pPr>
            <w:pStyle w:val="TOC2"/>
            <w:tabs>
              <w:tab w:val="right" w:leader="dot" w:pos="9016"/>
            </w:tabs>
            <w:rPr>
              <w:rFonts w:eastAsiaTheme="minorEastAsia"/>
              <w:noProof/>
              <w:kern w:val="2"/>
              <w:sz w:val="24"/>
              <w:szCs w:val="24"/>
              <w:lang w:eastAsia="en-GB"/>
              <w14:ligatures w14:val="standardContextual"/>
            </w:rPr>
          </w:pPr>
          <w:hyperlink w:anchor="_Toc211436420" w:history="1">
            <w:r w:rsidRPr="009B436E">
              <w:rPr>
                <w:rStyle w:val="Hyperlink"/>
                <w:noProof/>
              </w:rPr>
              <w:t>6.2 Next steps</w:t>
            </w:r>
            <w:r>
              <w:rPr>
                <w:noProof/>
                <w:webHidden/>
              </w:rPr>
              <w:tab/>
            </w:r>
            <w:r>
              <w:rPr>
                <w:noProof/>
                <w:webHidden/>
              </w:rPr>
              <w:fldChar w:fldCharType="begin"/>
            </w:r>
            <w:r>
              <w:rPr>
                <w:noProof/>
                <w:webHidden/>
              </w:rPr>
              <w:instrText xml:space="preserve"> PAGEREF _Toc211436420 \h </w:instrText>
            </w:r>
            <w:r>
              <w:rPr>
                <w:noProof/>
                <w:webHidden/>
              </w:rPr>
            </w:r>
            <w:r>
              <w:rPr>
                <w:noProof/>
                <w:webHidden/>
              </w:rPr>
              <w:fldChar w:fldCharType="separate"/>
            </w:r>
            <w:r>
              <w:rPr>
                <w:noProof/>
                <w:webHidden/>
              </w:rPr>
              <w:t>22</w:t>
            </w:r>
            <w:r>
              <w:rPr>
                <w:noProof/>
                <w:webHidden/>
              </w:rPr>
              <w:fldChar w:fldCharType="end"/>
            </w:r>
          </w:hyperlink>
        </w:p>
        <w:p w14:paraId="2FCB400C" w14:textId="21FE7EF9" w:rsidR="00300444" w:rsidRPr="008D0295" w:rsidRDefault="00300444">
          <w:pPr>
            <w:rPr>
              <w:rFonts w:ascii="Arial" w:hAnsi="Arial" w:cs="Arial"/>
            </w:rPr>
          </w:pPr>
          <w:r w:rsidRPr="008D0295">
            <w:rPr>
              <w:rFonts w:ascii="Arial" w:hAnsi="Arial" w:cs="Arial"/>
              <w:b/>
              <w:bCs/>
              <w:noProof/>
            </w:rPr>
            <w:fldChar w:fldCharType="end"/>
          </w:r>
        </w:p>
      </w:sdtContent>
    </w:sdt>
    <w:p w14:paraId="5E0F07F8" w14:textId="1D3DB621" w:rsidR="00286933" w:rsidRPr="008D0295" w:rsidRDefault="00286933" w:rsidP="00984DD4">
      <w:pPr>
        <w:jc w:val="both"/>
        <w:rPr>
          <w:rFonts w:ascii="Arial" w:hAnsi="Arial" w:cs="Arial"/>
          <w:b/>
          <w:bCs/>
        </w:rPr>
      </w:pPr>
    </w:p>
    <w:p w14:paraId="08CD11B8" w14:textId="77777777" w:rsidR="004F3EE8" w:rsidRPr="008D0295" w:rsidRDefault="004F3EE8" w:rsidP="00984DD4">
      <w:pPr>
        <w:jc w:val="both"/>
        <w:rPr>
          <w:rFonts w:ascii="Arial" w:hAnsi="Arial" w:cs="Arial"/>
          <w:b/>
          <w:bCs/>
        </w:rPr>
      </w:pPr>
    </w:p>
    <w:p w14:paraId="066A1558" w14:textId="77777777" w:rsidR="00B93925" w:rsidRDefault="00B93925" w:rsidP="00984DD4">
      <w:pPr>
        <w:jc w:val="both"/>
        <w:rPr>
          <w:rFonts w:ascii="Arial" w:hAnsi="Arial" w:cs="Arial"/>
          <w:b/>
          <w:bCs/>
        </w:rPr>
      </w:pPr>
    </w:p>
    <w:p w14:paraId="5A2F316F" w14:textId="7DC84A91" w:rsidR="00347210" w:rsidRPr="008D0295" w:rsidRDefault="00B93925" w:rsidP="008D0295">
      <w:pPr>
        <w:pStyle w:val="Heading1"/>
      </w:pPr>
      <w:bookmarkStart w:id="0" w:name="_Toc211436393"/>
      <w:r w:rsidRPr="008D0295">
        <w:lastRenderedPageBreak/>
        <w:t xml:space="preserve">Section </w:t>
      </w:r>
      <w:r w:rsidR="00347210" w:rsidRPr="008D0295">
        <w:t>1</w:t>
      </w:r>
      <w:r w:rsidRPr="008D0295">
        <w:t xml:space="preserve">: </w:t>
      </w:r>
      <w:r w:rsidR="00347210" w:rsidRPr="008D0295">
        <w:t>Executive Summary</w:t>
      </w:r>
      <w:bookmarkEnd w:id="0"/>
    </w:p>
    <w:p w14:paraId="3E52630C" w14:textId="77777777" w:rsidR="00544968" w:rsidRPr="008D0295" w:rsidRDefault="00544968" w:rsidP="00984DD4">
      <w:pPr>
        <w:spacing w:after="0" w:line="240" w:lineRule="auto"/>
        <w:jc w:val="both"/>
        <w:rPr>
          <w:rFonts w:ascii="Arial" w:hAnsi="Arial" w:cs="Arial"/>
        </w:rPr>
      </w:pPr>
    </w:p>
    <w:p w14:paraId="68375513" w14:textId="546A9B6F" w:rsidR="001621B1" w:rsidRPr="008D0295" w:rsidRDefault="00C76F5B" w:rsidP="00984DD4">
      <w:pPr>
        <w:spacing w:after="0" w:line="240" w:lineRule="auto"/>
        <w:jc w:val="both"/>
        <w:rPr>
          <w:rFonts w:ascii="Arial" w:hAnsi="Arial" w:cs="Arial"/>
        </w:rPr>
      </w:pPr>
      <w:r w:rsidRPr="008D0295">
        <w:rPr>
          <w:rFonts w:ascii="Arial" w:hAnsi="Arial" w:cs="Arial"/>
        </w:rPr>
        <w:t xml:space="preserve">The Derbyshire </w:t>
      </w:r>
      <w:bookmarkStart w:id="1" w:name="_Hlk198802726"/>
      <w:r w:rsidRPr="008D0295">
        <w:rPr>
          <w:rFonts w:ascii="Arial" w:hAnsi="Arial" w:cs="Arial"/>
        </w:rPr>
        <w:t>Post</w:t>
      </w:r>
      <w:r w:rsidR="0065036A" w:rsidRPr="008D0295">
        <w:rPr>
          <w:rFonts w:ascii="Arial" w:hAnsi="Arial" w:cs="Arial"/>
        </w:rPr>
        <w:t xml:space="preserve"> (Long)</w:t>
      </w:r>
      <w:r w:rsidRPr="008D0295">
        <w:rPr>
          <w:rFonts w:ascii="Arial" w:hAnsi="Arial" w:cs="Arial"/>
        </w:rPr>
        <w:t xml:space="preserve"> COVID </w:t>
      </w:r>
      <w:bookmarkEnd w:id="1"/>
      <w:r w:rsidRPr="008D0295">
        <w:rPr>
          <w:rFonts w:ascii="Arial" w:hAnsi="Arial" w:cs="Arial"/>
        </w:rPr>
        <w:t xml:space="preserve">Syndrome Assessment Clinic was launched in December 2020 to provide physical, cognitive, and psychological assessments to patients experiencing complex </w:t>
      </w:r>
      <w:r w:rsidR="0065036A" w:rsidRPr="008D0295">
        <w:rPr>
          <w:rFonts w:ascii="Arial" w:hAnsi="Arial" w:cs="Arial"/>
        </w:rPr>
        <w:t>P</w:t>
      </w:r>
      <w:r w:rsidRPr="008D0295">
        <w:rPr>
          <w:rFonts w:ascii="Arial" w:hAnsi="Arial" w:cs="Arial"/>
        </w:rPr>
        <w:t>ost</w:t>
      </w:r>
      <w:r w:rsidR="0065036A" w:rsidRPr="008D0295">
        <w:rPr>
          <w:rFonts w:ascii="Arial" w:hAnsi="Arial" w:cs="Arial"/>
        </w:rPr>
        <w:t xml:space="preserve"> (Long)</w:t>
      </w:r>
      <w:r w:rsidRPr="008D0295">
        <w:rPr>
          <w:rFonts w:ascii="Arial" w:hAnsi="Arial" w:cs="Arial"/>
        </w:rPr>
        <w:t xml:space="preserve"> COVID syndrome symptoms. In April 2022 the service was expanded to include rehabilitation hubs in the north and south of the county to </w:t>
      </w:r>
      <w:r w:rsidR="00BB6993" w:rsidRPr="008D0295">
        <w:rPr>
          <w:rFonts w:ascii="Arial" w:hAnsi="Arial" w:cs="Arial"/>
        </w:rPr>
        <w:t>manage patient symptoms</w:t>
      </w:r>
      <w:r w:rsidRPr="008D0295">
        <w:rPr>
          <w:rFonts w:ascii="Arial" w:hAnsi="Arial" w:cs="Arial"/>
        </w:rPr>
        <w:t xml:space="preserve">. The rehabilitation </w:t>
      </w:r>
      <w:proofErr w:type="gramStart"/>
      <w:r w:rsidR="00886E2E" w:rsidRPr="008D0295">
        <w:rPr>
          <w:rFonts w:ascii="Arial" w:hAnsi="Arial" w:cs="Arial"/>
        </w:rPr>
        <w:t>offer</w:t>
      </w:r>
      <w:proofErr w:type="gramEnd"/>
      <w:r w:rsidR="00886E2E" w:rsidRPr="008D0295">
        <w:rPr>
          <w:rFonts w:ascii="Arial" w:hAnsi="Arial" w:cs="Arial"/>
        </w:rPr>
        <w:t xml:space="preserve"> include</w:t>
      </w:r>
      <w:r w:rsidR="004F3EE8" w:rsidRPr="008D0295">
        <w:rPr>
          <w:rFonts w:ascii="Arial" w:hAnsi="Arial" w:cs="Arial"/>
        </w:rPr>
        <w:t>d</w:t>
      </w:r>
      <w:r w:rsidRPr="008D0295">
        <w:rPr>
          <w:rFonts w:ascii="Arial" w:hAnsi="Arial" w:cs="Arial"/>
        </w:rPr>
        <w:t xml:space="preserve"> </w:t>
      </w:r>
      <w:r w:rsidR="00886E2E" w:rsidRPr="008D0295">
        <w:rPr>
          <w:rFonts w:ascii="Arial" w:hAnsi="Arial" w:cs="Arial"/>
        </w:rPr>
        <w:t>support for B</w:t>
      </w:r>
      <w:r w:rsidRPr="008D0295">
        <w:rPr>
          <w:rFonts w:ascii="Arial" w:hAnsi="Arial" w:cs="Arial"/>
        </w:rPr>
        <w:t xml:space="preserve">reathlessness, Chronic </w:t>
      </w:r>
      <w:r w:rsidR="00886E2E" w:rsidRPr="008D0295">
        <w:rPr>
          <w:rFonts w:ascii="Arial" w:hAnsi="Arial" w:cs="Arial"/>
        </w:rPr>
        <w:t>Fatigue, Occupational</w:t>
      </w:r>
      <w:r w:rsidRPr="008D0295">
        <w:rPr>
          <w:rFonts w:ascii="Arial" w:hAnsi="Arial" w:cs="Arial"/>
        </w:rPr>
        <w:t xml:space="preserve"> Health</w:t>
      </w:r>
      <w:r w:rsidR="00886E2E" w:rsidRPr="008D0295">
        <w:rPr>
          <w:rFonts w:ascii="Arial" w:hAnsi="Arial" w:cs="Arial"/>
        </w:rPr>
        <w:t xml:space="preserve">, </w:t>
      </w:r>
      <w:r w:rsidRPr="008D0295">
        <w:rPr>
          <w:rFonts w:ascii="Arial" w:hAnsi="Arial" w:cs="Arial"/>
        </w:rPr>
        <w:t xml:space="preserve">Vocational </w:t>
      </w:r>
      <w:r w:rsidR="009850E1">
        <w:rPr>
          <w:rFonts w:ascii="Arial" w:hAnsi="Arial" w:cs="Arial"/>
        </w:rPr>
        <w:t xml:space="preserve">Support </w:t>
      </w:r>
      <w:r w:rsidRPr="008D0295">
        <w:rPr>
          <w:rFonts w:ascii="Arial" w:hAnsi="Arial" w:cs="Arial"/>
        </w:rPr>
        <w:t>and Health Psychology.</w:t>
      </w:r>
      <w:r w:rsidR="001621B1" w:rsidRPr="008D0295">
        <w:rPr>
          <w:rFonts w:ascii="Arial" w:hAnsi="Arial" w:cs="Arial"/>
        </w:rPr>
        <w:t xml:space="preserve"> </w:t>
      </w:r>
    </w:p>
    <w:p w14:paraId="0D0593AD" w14:textId="77777777" w:rsidR="001621B1" w:rsidRPr="008D0295" w:rsidRDefault="001621B1" w:rsidP="00984DD4">
      <w:pPr>
        <w:spacing w:after="0" w:line="240" w:lineRule="auto"/>
        <w:jc w:val="both"/>
        <w:rPr>
          <w:rFonts w:ascii="Arial" w:hAnsi="Arial" w:cs="Arial"/>
        </w:rPr>
      </w:pPr>
    </w:p>
    <w:p w14:paraId="520766EB" w14:textId="4ED02169" w:rsidR="001621B1" w:rsidRPr="008D0295" w:rsidRDefault="001621B1" w:rsidP="000F1F34">
      <w:pPr>
        <w:spacing w:line="240" w:lineRule="auto"/>
        <w:jc w:val="both"/>
        <w:rPr>
          <w:rFonts w:ascii="Arial" w:hAnsi="Arial" w:cs="Arial"/>
        </w:rPr>
      </w:pPr>
      <w:r w:rsidRPr="008D0295">
        <w:rPr>
          <w:rFonts w:ascii="Arial" w:hAnsi="Arial" w:cs="Arial"/>
        </w:rPr>
        <w:t xml:space="preserve">In </w:t>
      </w:r>
      <w:r w:rsidR="00393CC6">
        <w:rPr>
          <w:rFonts w:ascii="Arial" w:hAnsi="Arial" w:cs="Arial"/>
        </w:rPr>
        <w:t>20</w:t>
      </w:r>
      <w:r w:rsidRPr="008D0295">
        <w:rPr>
          <w:rFonts w:ascii="Arial" w:hAnsi="Arial" w:cs="Arial"/>
        </w:rPr>
        <w:t xml:space="preserve">23/24 the Derby and Derbyshire Integrated Care Board (DDICB) led a service review in response to the national downward trend in referrals, workforce retention issues, and financial sustainability issues caused by </w:t>
      </w:r>
      <w:r w:rsidR="00EA4782" w:rsidRPr="008D0295">
        <w:rPr>
          <w:rFonts w:ascii="Arial" w:hAnsi="Arial" w:cs="Arial"/>
        </w:rPr>
        <w:t>the uncertainty of future funding arrangements</w:t>
      </w:r>
      <w:r w:rsidRPr="008D0295">
        <w:rPr>
          <w:rFonts w:ascii="Arial" w:hAnsi="Arial" w:cs="Arial"/>
        </w:rPr>
        <w:t xml:space="preserve">. The review recommended that the existing service model was to continue for </w:t>
      </w:r>
      <w:r w:rsidR="00393CC6">
        <w:rPr>
          <w:rFonts w:ascii="Arial" w:hAnsi="Arial" w:cs="Arial"/>
        </w:rPr>
        <w:t>20</w:t>
      </w:r>
      <w:r w:rsidRPr="008D0295">
        <w:rPr>
          <w:rFonts w:ascii="Arial" w:hAnsi="Arial" w:cs="Arial"/>
        </w:rPr>
        <w:t>24/25 but with reduced resource</w:t>
      </w:r>
      <w:r w:rsidR="00393CC6">
        <w:rPr>
          <w:rFonts w:ascii="Arial" w:hAnsi="Arial" w:cs="Arial"/>
        </w:rPr>
        <w:t xml:space="preserve"> </w:t>
      </w:r>
      <w:r w:rsidR="00393CC6" w:rsidRPr="008D0295">
        <w:rPr>
          <w:rFonts w:ascii="Arial" w:hAnsi="Arial" w:cs="Arial"/>
        </w:rPr>
        <w:t xml:space="preserve">(staffing and </w:t>
      </w:r>
      <w:r w:rsidR="008E441F" w:rsidRPr="008D0295">
        <w:rPr>
          <w:rFonts w:ascii="Arial" w:hAnsi="Arial" w:cs="Arial"/>
        </w:rPr>
        <w:t>funding) aligned</w:t>
      </w:r>
      <w:r w:rsidRPr="008D0295">
        <w:rPr>
          <w:rFonts w:ascii="Arial" w:hAnsi="Arial" w:cs="Arial"/>
        </w:rPr>
        <w:t xml:space="preserve"> to current demand. The service transitioned to a one provider model in July 2024, led by </w:t>
      </w:r>
      <w:r w:rsidR="00393CC6">
        <w:rPr>
          <w:rFonts w:ascii="Arial" w:hAnsi="Arial" w:cs="Arial"/>
        </w:rPr>
        <w:t>Derbyshire Community Health Services (</w:t>
      </w:r>
      <w:r w:rsidRPr="008D0295">
        <w:rPr>
          <w:rFonts w:ascii="Arial" w:hAnsi="Arial" w:cs="Arial"/>
        </w:rPr>
        <w:t>DCHS</w:t>
      </w:r>
      <w:r w:rsidR="00393CC6">
        <w:rPr>
          <w:rFonts w:ascii="Arial" w:hAnsi="Arial" w:cs="Arial"/>
        </w:rPr>
        <w:t>)</w:t>
      </w:r>
      <w:r w:rsidRPr="008D0295">
        <w:rPr>
          <w:rFonts w:ascii="Arial" w:hAnsi="Arial" w:cs="Arial"/>
        </w:rPr>
        <w:t xml:space="preserve"> on an annual rolling contract.</w:t>
      </w:r>
    </w:p>
    <w:p w14:paraId="6D7A0662" w14:textId="4FD6DCCA" w:rsidR="001621B1" w:rsidRPr="008D0295" w:rsidRDefault="001621B1" w:rsidP="000F1F34">
      <w:pPr>
        <w:spacing w:line="240" w:lineRule="auto"/>
        <w:jc w:val="both"/>
        <w:rPr>
          <w:rFonts w:ascii="Arial" w:hAnsi="Arial" w:cs="Arial"/>
        </w:rPr>
      </w:pPr>
      <w:r w:rsidRPr="008D0295">
        <w:rPr>
          <w:rFonts w:ascii="Arial" w:hAnsi="Arial" w:cs="Arial"/>
        </w:rPr>
        <w:t>The responsibility of commissioning services transitioned from the national programme to DDICB in April 2024 and funding was confirmed as recurrent within</w:t>
      </w:r>
      <w:r w:rsidR="009850E1">
        <w:rPr>
          <w:rFonts w:ascii="Arial" w:hAnsi="Arial" w:cs="Arial"/>
        </w:rPr>
        <w:t xml:space="preserve"> the</w:t>
      </w:r>
      <w:r w:rsidRPr="008D0295">
        <w:rPr>
          <w:rFonts w:ascii="Arial" w:hAnsi="Arial" w:cs="Arial"/>
        </w:rPr>
        <w:t xml:space="preserve"> ICB baseline. </w:t>
      </w:r>
    </w:p>
    <w:p w14:paraId="118E6655" w14:textId="219E9A2E" w:rsidR="001621B1" w:rsidRPr="008D0295" w:rsidRDefault="001621B1" w:rsidP="000F1F34">
      <w:pPr>
        <w:spacing w:line="240" w:lineRule="auto"/>
        <w:jc w:val="both"/>
        <w:rPr>
          <w:rFonts w:ascii="Arial" w:hAnsi="Arial" w:cs="Arial"/>
        </w:rPr>
      </w:pPr>
      <w:r w:rsidRPr="008D0295">
        <w:rPr>
          <w:rFonts w:ascii="Arial" w:hAnsi="Arial" w:cs="Arial"/>
        </w:rPr>
        <w:t xml:space="preserve">DCHS are the sole provider of the </w:t>
      </w:r>
      <w:r w:rsidR="00742FB9" w:rsidRPr="008D0295">
        <w:rPr>
          <w:rFonts w:ascii="Arial" w:hAnsi="Arial" w:cs="Arial"/>
        </w:rPr>
        <w:t xml:space="preserve">Post (Long) COVID </w:t>
      </w:r>
      <w:r w:rsidRPr="008D0295">
        <w:rPr>
          <w:rFonts w:ascii="Arial" w:hAnsi="Arial" w:cs="Arial"/>
        </w:rPr>
        <w:t>service within Derby and Derbyshire. In January 2025 DCHS raised concerns regarding the fragility of the service, linked to workforce retention and contract arrangements. Following negotiations a revised</w:t>
      </w:r>
      <w:r w:rsidR="004A506F">
        <w:rPr>
          <w:rFonts w:ascii="Arial" w:hAnsi="Arial" w:cs="Arial"/>
        </w:rPr>
        <w:t>, temporary</w:t>
      </w:r>
      <w:r w:rsidRPr="008D0295">
        <w:rPr>
          <w:rFonts w:ascii="Arial" w:hAnsi="Arial" w:cs="Arial"/>
        </w:rPr>
        <w:t xml:space="preserve"> service model for 2025/26 was agreed on the understanding that a new, sustainable model would be developed and would be commissioned on an ongoing basis from April 2026. </w:t>
      </w:r>
    </w:p>
    <w:p w14:paraId="273B6380" w14:textId="77777777" w:rsidR="0065036A" w:rsidRPr="008D0295" w:rsidRDefault="00BB6993" w:rsidP="0065036A">
      <w:pPr>
        <w:spacing w:line="240" w:lineRule="auto"/>
        <w:jc w:val="both"/>
        <w:rPr>
          <w:rFonts w:ascii="Arial" w:hAnsi="Arial" w:cs="Arial"/>
        </w:rPr>
      </w:pPr>
      <w:r w:rsidRPr="008D0295">
        <w:rPr>
          <w:rFonts w:ascii="Arial" w:hAnsi="Arial" w:cs="Arial"/>
        </w:rPr>
        <w:t>The key drivers for th</w:t>
      </w:r>
      <w:r w:rsidR="00622A0D" w:rsidRPr="008D0295">
        <w:rPr>
          <w:rFonts w:ascii="Arial" w:hAnsi="Arial" w:cs="Arial"/>
        </w:rPr>
        <w:t>e</w:t>
      </w:r>
      <w:r w:rsidRPr="008D0295">
        <w:rPr>
          <w:rFonts w:ascii="Arial" w:hAnsi="Arial" w:cs="Arial"/>
        </w:rPr>
        <w:t xml:space="preserve"> case for change is the reduction in referral activity </w:t>
      </w:r>
      <w:r w:rsidR="001621B1" w:rsidRPr="008D0295">
        <w:rPr>
          <w:rFonts w:ascii="Arial" w:hAnsi="Arial" w:cs="Arial"/>
        </w:rPr>
        <w:t xml:space="preserve">and concerns regarding the sustainability of the service: </w:t>
      </w:r>
    </w:p>
    <w:p w14:paraId="01C5942E" w14:textId="498001F0" w:rsidR="0065036A" w:rsidRPr="008D0295" w:rsidRDefault="00BB6993" w:rsidP="007645CC">
      <w:pPr>
        <w:pStyle w:val="ListParagraph"/>
        <w:numPr>
          <w:ilvl w:val="0"/>
          <w:numId w:val="8"/>
        </w:numPr>
        <w:spacing w:line="240" w:lineRule="auto"/>
        <w:jc w:val="both"/>
        <w:rPr>
          <w:rFonts w:ascii="Arial" w:hAnsi="Arial" w:cs="Arial"/>
        </w:rPr>
      </w:pPr>
      <w:r w:rsidRPr="008D0295">
        <w:rPr>
          <w:rFonts w:ascii="Arial" w:hAnsi="Arial" w:cs="Arial"/>
        </w:rPr>
        <w:t>In line with national trends, since Dec</w:t>
      </w:r>
      <w:r w:rsidR="00143A13" w:rsidRPr="008D0295">
        <w:rPr>
          <w:rFonts w:ascii="Arial" w:hAnsi="Arial" w:cs="Arial"/>
        </w:rPr>
        <w:t>ember</w:t>
      </w:r>
      <w:r w:rsidRPr="008D0295">
        <w:rPr>
          <w:rFonts w:ascii="Arial" w:hAnsi="Arial" w:cs="Arial"/>
        </w:rPr>
        <w:t xml:space="preserve"> </w:t>
      </w:r>
      <w:r w:rsidR="008000E4" w:rsidRPr="008D0295">
        <w:rPr>
          <w:rFonts w:ascii="Arial" w:hAnsi="Arial" w:cs="Arial"/>
        </w:rPr>
        <w:t>20</w:t>
      </w:r>
      <w:r w:rsidRPr="008D0295">
        <w:rPr>
          <w:rFonts w:ascii="Arial" w:hAnsi="Arial" w:cs="Arial"/>
        </w:rPr>
        <w:t xml:space="preserve">22 </w:t>
      </w:r>
      <w:r w:rsidR="00F81C9A" w:rsidRPr="008D0295">
        <w:rPr>
          <w:rFonts w:ascii="Arial" w:hAnsi="Arial" w:cs="Arial"/>
        </w:rPr>
        <w:t>referrals continue to decrease annually</w:t>
      </w:r>
      <w:r w:rsidR="00395239" w:rsidRPr="008D0295">
        <w:rPr>
          <w:rFonts w:ascii="Arial" w:hAnsi="Arial" w:cs="Arial"/>
        </w:rPr>
        <w:t xml:space="preserve">. </w:t>
      </w:r>
      <w:r w:rsidR="00D23F11">
        <w:rPr>
          <w:rFonts w:ascii="Arial" w:hAnsi="Arial" w:cs="Arial"/>
        </w:rPr>
        <w:t xml:space="preserve">Between </w:t>
      </w:r>
      <w:r w:rsidR="00511DAF">
        <w:rPr>
          <w:rFonts w:ascii="Arial" w:hAnsi="Arial" w:cs="Arial"/>
        </w:rPr>
        <w:t xml:space="preserve">April 2025 and August 2025 there were 87 referrals into the service, averaging four per week. </w:t>
      </w:r>
    </w:p>
    <w:p w14:paraId="6D872B86" w14:textId="56457AED" w:rsidR="00F81C9A" w:rsidRPr="008D0295" w:rsidRDefault="00F81C9A" w:rsidP="007645CC">
      <w:pPr>
        <w:pStyle w:val="ListParagraph"/>
        <w:numPr>
          <w:ilvl w:val="0"/>
          <w:numId w:val="8"/>
        </w:numPr>
        <w:spacing w:line="240" w:lineRule="auto"/>
        <w:jc w:val="both"/>
        <w:rPr>
          <w:rFonts w:ascii="Arial" w:hAnsi="Arial" w:cs="Arial"/>
        </w:rPr>
      </w:pPr>
      <w:r w:rsidRPr="008D0295">
        <w:rPr>
          <w:rFonts w:ascii="Arial" w:hAnsi="Arial" w:cs="Arial"/>
        </w:rPr>
        <w:t xml:space="preserve">Service is commissioned non recurrently on a </w:t>
      </w:r>
      <w:r w:rsidR="00393CC6" w:rsidRPr="008D0295">
        <w:rPr>
          <w:rFonts w:ascii="Arial" w:hAnsi="Arial" w:cs="Arial"/>
        </w:rPr>
        <w:t>one-year</w:t>
      </w:r>
      <w:r w:rsidRPr="008D0295">
        <w:rPr>
          <w:rFonts w:ascii="Arial" w:hAnsi="Arial" w:cs="Arial"/>
        </w:rPr>
        <w:t xml:space="preserve"> rolling basis leading to recruitment and retention concerns. In March 2025 </w:t>
      </w:r>
      <w:r w:rsidR="00CC108E" w:rsidRPr="008D0295">
        <w:rPr>
          <w:rFonts w:ascii="Arial" w:hAnsi="Arial" w:cs="Arial"/>
        </w:rPr>
        <w:t>42</w:t>
      </w:r>
      <w:r w:rsidRPr="008D0295">
        <w:rPr>
          <w:rFonts w:ascii="Arial" w:hAnsi="Arial" w:cs="Arial"/>
        </w:rPr>
        <w:t xml:space="preserve">% </w:t>
      </w:r>
      <w:r w:rsidR="00766D49" w:rsidRPr="008D0295">
        <w:rPr>
          <w:rFonts w:ascii="Arial" w:hAnsi="Arial" w:cs="Arial"/>
        </w:rPr>
        <w:t xml:space="preserve">of staff </w:t>
      </w:r>
      <w:r w:rsidRPr="008D0295">
        <w:rPr>
          <w:rFonts w:ascii="Arial" w:hAnsi="Arial" w:cs="Arial"/>
        </w:rPr>
        <w:t>were called back from secondment, leading to service fragility</w:t>
      </w:r>
    </w:p>
    <w:p w14:paraId="70F358D6" w14:textId="6BDA3E0F" w:rsidR="001621B1" w:rsidRPr="008D0295" w:rsidRDefault="001621B1" w:rsidP="0065036A">
      <w:pPr>
        <w:spacing w:line="240" w:lineRule="auto"/>
        <w:jc w:val="both"/>
        <w:rPr>
          <w:rFonts w:ascii="Arial" w:hAnsi="Arial" w:cs="Arial"/>
        </w:rPr>
      </w:pPr>
      <w:r w:rsidRPr="008D0295">
        <w:rPr>
          <w:rFonts w:ascii="Arial" w:hAnsi="Arial" w:cs="Arial"/>
        </w:rPr>
        <w:t xml:space="preserve">To address workforce retention concerns it has been agreed that a sustainable </w:t>
      </w:r>
      <w:r w:rsidR="000A66E3" w:rsidRPr="008D0295">
        <w:rPr>
          <w:rFonts w:ascii="Arial" w:hAnsi="Arial" w:cs="Arial"/>
        </w:rPr>
        <w:t xml:space="preserve">service will be redesigned, in line with expected activity levels, and that this will be commissioned, recurrently from April 2026. </w:t>
      </w:r>
    </w:p>
    <w:p w14:paraId="33DFC189" w14:textId="79B8F64C" w:rsidR="003F1BCC" w:rsidRPr="008D0295" w:rsidRDefault="00B93925" w:rsidP="008D0295">
      <w:pPr>
        <w:pStyle w:val="Heading1"/>
      </w:pPr>
      <w:bookmarkStart w:id="2" w:name="_Toc211436394"/>
      <w:r w:rsidRPr="008D0295">
        <w:t>Section 2:</w:t>
      </w:r>
      <w:r w:rsidR="003F1BCC" w:rsidRPr="008D0295">
        <w:t xml:space="preserve"> </w:t>
      </w:r>
      <w:r w:rsidR="00BC5283" w:rsidRPr="008D0295">
        <w:t>Context</w:t>
      </w:r>
      <w:bookmarkEnd w:id="2"/>
    </w:p>
    <w:p w14:paraId="38D795F6" w14:textId="77777777" w:rsidR="00544968" w:rsidRPr="008D0295" w:rsidRDefault="00544968" w:rsidP="00AD627F">
      <w:pPr>
        <w:spacing w:after="0" w:line="240" w:lineRule="auto"/>
        <w:jc w:val="both"/>
        <w:rPr>
          <w:rFonts w:ascii="Arial" w:hAnsi="Arial" w:cs="Arial"/>
        </w:rPr>
      </w:pPr>
    </w:p>
    <w:p w14:paraId="1C3447DF" w14:textId="43E2A8E3" w:rsidR="003F1BCC" w:rsidRDefault="00BC5283" w:rsidP="008D0295">
      <w:pPr>
        <w:pStyle w:val="Heading2"/>
      </w:pPr>
      <w:bookmarkStart w:id="3" w:name="_Toc211436395"/>
      <w:bookmarkStart w:id="4" w:name="_Hlk198281005"/>
      <w:r w:rsidRPr="008D0295">
        <w:t>2</w:t>
      </w:r>
      <w:r w:rsidR="003F1BCC" w:rsidRPr="008D0295">
        <w:t>.1 Definition</w:t>
      </w:r>
      <w:bookmarkEnd w:id="3"/>
    </w:p>
    <w:p w14:paraId="1CADFE66" w14:textId="77777777" w:rsidR="008D0295" w:rsidRPr="008D0295" w:rsidRDefault="008D0295" w:rsidP="008D0295"/>
    <w:p w14:paraId="5361C07B" w14:textId="7BA55A3F" w:rsidR="00896D1A" w:rsidRPr="008D0295" w:rsidRDefault="00896D1A" w:rsidP="00AD627F">
      <w:pPr>
        <w:spacing w:line="240" w:lineRule="auto"/>
        <w:jc w:val="both"/>
        <w:rPr>
          <w:rFonts w:ascii="Arial" w:hAnsi="Arial" w:cs="Arial"/>
        </w:rPr>
      </w:pPr>
      <w:r w:rsidRPr="008D0295">
        <w:rPr>
          <w:rFonts w:ascii="Arial" w:hAnsi="Arial" w:cs="Arial"/>
        </w:rPr>
        <w:t>Most people with COVID-19 feel better within a few days or weeks of their first symptoms and make a full recovery within 12 weeks. For some people, symptoms can last longer.</w:t>
      </w:r>
    </w:p>
    <w:p w14:paraId="6FAD30EA" w14:textId="45345B2B" w:rsidR="00896D1A" w:rsidRPr="008D0295" w:rsidRDefault="00896D1A" w:rsidP="00AD627F">
      <w:pPr>
        <w:spacing w:line="240" w:lineRule="auto"/>
        <w:jc w:val="both"/>
        <w:rPr>
          <w:rFonts w:ascii="Arial" w:hAnsi="Arial" w:cs="Arial"/>
        </w:rPr>
      </w:pPr>
      <w:r w:rsidRPr="008D0295">
        <w:rPr>
          <w:rFonts w:ascii="Arial" w:hAnsi="Arial" w:cs="Arial"/>
        </w:rPr>
        <w:t>This is called long COVID or post COVID-19 syndrome</w:t>
      </w:r>
      <w:r w:rsidR="00F22F72" w:rsidRPr="008D0295">
        <w:rPr>
          <w:rFonts w:ascii="Arial" w:hAnsi="Arial" w:cs="Arial"/>
        </w:rPr>
        <w:t>, for consistency this will be referred to as Post (Long) COVID throughout this document</w:t>
      </w:r>
      <w:r w:rsidRPr="008D0295">
        <w:rPr>
          <w:rFonts w:ascii="Arial" w:hAnsi="Arial" w:cs="Arial"/>
        </w:rPr>
        <w:t xml:space="preserve">. </w:t>
      </w:r>
      <w:r w:rsidR="00742FB9" w:rsidRPr="008D0295">
        <w:rPr>
          <w:rFonts w:ascii="Arial" w:hAnsi="Arial" w:cs="Arial"/>
        </w:rPr>
        <w:t xml:space="preserve">Post (Long) COVID </w:t>
      </w:r>
      <w:r w:rsidRPr="008D0295">
        <w:rPr>
          <w:rFonts w:ascii="Arial" w:hAnsi="Arial" w:cs="Arial"/>
        </w:rPr>
        <w:t xml:space="preserve">is a </w:t>
      </w:r>
      <w:r w:rsidR="00393CC6">
        <w:rPr>
          <w:rFonts w:ascii="Arial" w:hAnsi="Arial" w:cs="Arial"/>
        </w:rPr>
        <w:t xml:space="preserve">relatively </w:t>
      </w:r>
      <w:r w:rsidRPr="008D0295">
        <w:rPr>
          <w:rFonts w:ascii="Arial" w:hAnsi="Arial" w:cs="Arial"/>
        </w:rPr>
        <w:t xml:space="preserve">new condition which is still being </w:t>
      </w:r>
      <w:r w:rsidR="00350D31" w:rsidRPr="008D0295">
        <w:rPr>
          <w:rFonts w:ascii="Arial" w:hAnsi="Arial" w:cs="Arial"/>
        </w:rPr>
        <w:t>studied.</w:t>
      </w:r>
    </w:p>
    <w:p w14:paraId="04FF9503" w14:textId="055553BC" w:rsidR="00450C31" w:rsidRPr="008D0295" w:rsidRDefault="00450C31" w:rsidP="00AD627F">
      <w:pPr>
        <w:spacing w:line="240" w:lineRule="auto"/>
        <w:jc w:val="both"/>
        <w:rPr>
          <w:rFonts w:ascii="Arial" w:hAnsi="Arial" w:cs="Arial"/>
        </w:rPr>
      </w:pPr>
      <w:r w:rsidRPr="008D0295">
        <w:rPr>
          <w:rFonts w:ascii="Arial" w:hAnsi="Arial" w:cs="Arial"/>
        </w:rPr>
        <w:t xml:space="preserve">The 2020 NICE "Guidelines for managing the </w:t>
      </w:r>
      <w:r w:rsidR="00F22F72" w:rsidRPr="008D0295">
        <w:rPr>
          <w:rFonts w:ascii="Arial" w:hAnsi="Arial" w:cs="Arial"/>
        </w:rPr>
        <w:t>long-term</w:t>
      </w:r>
      <w:r w:rsidRPr="008D0295">
        <w:rPr>
          <w:rFonts w:ascii="Arial" w:hAnsi="Arial" w:cs="Arial"/>
        </w:rPr>
        <w:t xml:space="preserve"> effects of COVID-19" contains the following definitions: </w:t>
      </w:r>
    </w:p>
    <w:p w14:paraId="582F00E1" w14:textId="3DBB5FF2" w:rsidR="003F1BCC" w:rsidRPr="008D0295" w:rsidRDefault="003F1BCC" w:rsidP="00AD627F">
      <w:pPr>
        <w:spacing w:line="240" w:lineRule="auto"/>
        <w:jc w:val="both"/>
        <w:rPr>
          <w:rFonts w:ascii="Arial" w:hAnsi="Arial" w:cs="Arial"/>
        </w:rPr>
      </w:pPr>
      <w:r w:rsidRPr="008D0295">
        <w:rPr>
          <w:rFonts w:ascii="Arial" w:hAnsi="Arial" w:cs="Arial"/>
          <w:u w:val="single"/>
        </w:rPr>
        <w:lastRenderedPageBreak/>
        <w:t>Ongoing symptomatic COVID-19</w:t>
      </w:r>
      <w:r w:rsidRPr="008D0295">
        <w:rPr>
          <w:rFonts w:ascii="Arial" w:hAnsi="Arial" w:cs="Arial"/>
        </w:rPr>
        <w:t xml:space="preserve">: signs and symptoms of COVID-19 lasting from four to </w:t>
      </w:r>
      <w:r w:rsidR="002E1F3E">
        <w:rPr>
          <w:rFonts w:ascii="Arial" w:hAnsi="Arial" w:cs="Arial"/>
        </w:rPr>
        <w:t>twelve</w:t>
      </w:r>
      <w:r w:rsidRPr="008D0295">
        <w:rPr>
          <w:rFonts w:ascii="Arial" w:hAnsi="Arial" w:cs="Arial"/>
        </w:rPr>
        <w:t xml:space="preserve"> weeks.</w:t>
      </w:r>
    </w:p>
    <w:p w14:paraId="13796351" w14:textId="291E8E6E" w:rsidR="008B73CC" w:rsidRPr="008D0295" w:rsidRDefault="00742FB9" w:rsidP="00AD627F">
      <w:pPr>
        <w:pStyle w:val="Default"/>
        <w:jc w:val="both"/>
        <w:rPr>
          <w:sz w:val="22"/>
          <w:szCs w:val="22"/>
        </w:rPr>
      </w:pPr>
      <w:r w:rsidRPr="008D0295">
        <w:rPr>
          <w:sz w:val="22"/>
          <w:szCs w:val="22"/>
          <w:u w:val="single"/>
        </w:rPr>
        <w:t xml:space="preserve">Post (Long) COVID </w:t>
      </w:r>
      <w:r w:rsidR="003F1BCC" w:rsidRPr="008D0295">
        <w:rPr>
          <w:sz w:val="22"/>
          <w:szCs w:val="22"/>
          <w:u w:val="single"/>
        </w:rPr>
        <w:t>syndrome</w:t>
      </w:r>
      <w:r w:rsidR="003F1BCC" w:rsidRPr="008D0295">
        <w:rPr>
          <w:sz w:val="22"/>
          <w:szCs w:val="22"/>
        </w:rPr>
        <w:t>:</w:t>
      </w:r>
      <w:r w:rsidR="003F1BCC" w:rsidRPr="008D0295">
        <w:rPr>
          <w:b/>
          <w:bCs/>
          <w:sz w:val="22"/>
          <w:szCs w:val="22"/>
        </w:rPr>
        <w:t xml:space="preserve"> </w:t>
      </w:r>
      <w:r w:rsidR="003F1BCC" w:rsidRPr="008D0295">
        <w:rPr>
          <w:sz w:val="22"/>
          <w:szCs w:val="22"/>
        </w:rPr>
        <w:t>signs and symptoms that develop during or after an infection consistent with COVID</w:t>
      </w:r>
      <w:r w:rsidR="003F1BCC" w:rsidRPr="008D0295">
        <w:rPr>
          <w:sz w:val="22"/>
          <w:szCs w:val="22"/>
        </w:rPr>
        <w:noBreakHyphen/>
        <w:t xml:space="preserve">19, continue for more than </w:t>
      </w:r>
      <w:r w:rsidR="002E1F3E">
        <w:rPr>
          <w:sz w:val="22"/>
          <w:szCs w:val="22"/>
        </w:rPr>
        <w:t>twelve</w:t>
      </w:r>
      <w:r w:rsidR="003F1BCC" w:rsidRPr="008D0295">
        <w:rPr>
          <w:sz w:val="22"/>
          <w:szCs w:val="22"/>
        </w:rPr>
        <w:t xml:space="preserve"> weeks and are not explained by an alternative diagnosis. It usually presents with clusters of symptoms, often overlapping, which can fluctuate and change over time and can affect any system in the body. </w:t>
      </w:r>
      <w:r w:rsidRPr="008D0295">
        <w:rPr>
          <w:sz w:val="22"/>
          <w:szCs w:val="22"/>
        </w:rPr>
        <w:t xml:space="preserve">Post (Long) COVID </w:t>
      </w:r>
      <w:r w:rsidR="003F1BCC" w:rsidRPr="008D0295">
        <w:rPr>
          <w:sz w:val="22"/>
          <w:szCs w:val="22"/>
        </w:rPr>
        <w:t xml:space="preserve">syndrome may be considered before </w:t>
      </w:r>
      <w:r w:rsidR="002E1F3E">
        <w:rPr>
          <w:sz w:val="22"/>
          <w:szCs w:val="22"/>
        </w:rPr>
        <w:t>twelve</w:t>
      </w:r>
      <w:r w:rsidR="003F1BCC" w:rsidRPr="008D0295">
        <w:rPr>
          <w:sz w:val="22"/>
          <w:szCs w:val="22"/>
        </w:rPr>
        <w:t xml:space="preserve"> weeks while the possibility of an alternative underlying disease is also being assessed. </w:t>
      </w:r>
    </w:p>
    <w:bookmarkEnd w:id="4"/>
    <w:p w14:paraId="574329BB" w14:textId="77777777" w:rsidR="008B73CC" w:rsidRPr="008D0295" w:rsidRDefault="008B73CC" w:rsidP="00AD627F">
      <w:pPr>
        <w:pStyle w:val="Default"/>
        <w:jc w:val="both"/>
        <w:rPr>
          <w:sz w:val="22"/>
          <w:szCs w:val="22"/>
        </w:rPr>
      </w:pPr>
    </w:p>
    <w:p w14:paraId="742AF28D" w14:textId="697DDF42" w:rsidR="002C2744" w:rsidRPr="008D0295" w:rsidRDefault="00347210" w:rsidP="008D0295">
      <w:pPr>
        <w:pStyle w:val="Heading2"/>
      </w:pPr>
      <w:bookmarkStart w:id="5" w:name="_Toc211436396"/>
      <w:r w:rsidRPr="008D0295">
        <w:t>2</w:t>
      </w:r>
      <w:r w:rsidR="002C2744" w:rsidRPr="008D0295">
        <w:t xml:space="preserve">.2 </w:t>
      </w:r>
      <w:r w:rsidR="00742FB9" w:rsidRPr="008D0295">
        <w:t xml:space="preserve">Post (Long) COVID </w:t>
      </w:r>
      <w:r w:rsidR="002C2744" w:rsidRPr="008D0295">
        <w:t>Symptoms</w:t>
      </w:r>
      <w:bookmarkEnd w:id="5"/>
    </w:p>
    <w:p w14:paraId="63BABCEE" w14:textId="77777777" w:rsidR="00EA0760" w:rsidRPr="008D0295" w:rsidRDefault="00EA0760" w:rsidP="00EA0760">
      <w:pPr>
        <w:rPr>
          <w:rFonts w:ascii="Arial" w:hAnsi="Arial" w:cs="Arial"/>
        </w:rPr>
      </w:pPr>
    </w:p>
    <w:p w14:paraId="1E31BFC0" w14:textId="5FEB7A9C" w:rsidR="00896D1A" w:rsidRPr="008D0295" w:rsidRDefault="00EA0760" w:rsidP="00AD627F">
      <w:pPr>
        <w:spacing w:line="240" w:lineRule="auto"/>
        <w:jc w:val="both"/>
        <w:rPr>
          <w:rFonts w:ascii="Arial" w:hAnsi="Arial" w:cs="Arial"/>
        </w:rPr>
      </w:pPr>
      <w:r w:rsidRPr="008D0295">
        <w:rPr>
          <w:rFonts w:ascii="Arial" w:hAnsi="Arial" w:cs="Arial"/>
        </w:rPr>
        <w:t xml:space="preserve">Symptoms after acute COVID-19 are highly variable and wide ranging. The </w:t>
      </w:r>
      <w:proofErr w:type="gramStart"/>
      <w:r w:rsidRPr="008D0295">
        <w:rPr>
          <w:rFonts w:ascii="Arial" w:hAnsi="Arial" w:cs="Arial"/>
        </w:rPr>
        <w:t>most commonly reported</w:t>
      </w:r>
      <w:proofErr w:type="gramEnd"/>
      <w:r w:rsidRPr="008D0295">
        <w:rPr>
          <w:rFonts w:ascii="Arial" w:hAnsi="Arial" w:cs="Arial"/>
        </w:rPr>
        <w:t xml:space="preserve"> symptoms include (but are not limited to) the following: </w:t>
      </w:r>
    </w:p>
    <w:tbl>
      <w:tblPr>
        <w:tblStyle w:val="TableGrid"/>
        <w:tblW w:w="0" w:type="auto"/>
        <w:tblLook w:val="04A0" w:firstRow="1" w:lastRow="0" w:firstColumn="1" w:lastColumn="0" w:noHBand="0" w:noVBand="1"/>
      </w:tblPr>
      <w:tblGrid>
        <w:gridCol w:w="3005"/>
        <w:gridCol w:w="3005"/>
        <w:gridCol w:w="3006"/>
      </w:tblGrid>
      <w:tr w:rsidR="00BB665C" w:rsidRPr="008D0295" w14:paraId="3CB981D3" w14:textId="77777777" w:rsidTr="00BB665C">
        <w:tc>
          <w:tcPr>
            <w:tcW w:w="3005" w:type="dxa"/>
          </w:tcPr>
          <w:p w14:paraId="6E1B6719" w14:textId="77777777" w:rsidR="00BB665C" w:rsidRPr="008D0295" w:rsidRDefault="00BB665C" w:rsidP="002160B3">
            <w:pPr>
              <w:jc w:val="both"/>
              <w:rPr>
                <w:rFonts w:ascii="Arial" w:hAnsi="Arial" w:cs="Arial"/>
              </w:rPr>
            </w:pPr>
            <w:r w:rsidRPr="008D0295">
              <w:rPr>
                <w:rFonts w:ascii="Arial" w:hAnsi="Arial" w:cs="Arial"/>
              </w:rPr>
              <w:t>Respiratory Symptoms</w:t>
            </w:r>
          </w:p>
          <w:p w14:paraId="49A38932"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 xml:space="preserve">Breathlessness </w:t>
            </w:r>
          </w:p>
          <w:p w14:paraId="4CF17585" w14:textId="737E70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Cough</w:t>
            </w:r>
          </w:p>
        </w:tc>
        <w:tc>
          <w:tcPr>
            <w:tcW w:w="3005" w:type="dxa"/>
          </w:tcPr>
          <w:p w14:paraId="4E735142" w14:textId="77777777" w:rsidR="00BB665C" w:rsidRPr="008D0295" w:rsidRDefault="00BB665C" w:rsidP="002160B3">
            <w:pPr>
              <w:jc w:val="both"/>
              <w:rPr>
                <w:rFonts w:ascii="Arial" w:hAnsi="Arial" w:cs="Arial"/>
              </w:rPr>
            </w:pPr>
            <w:r w:rsidRPr="008D0295">
              <w:rPr>
                <w:rFonts w:ascii="Arial" w:hAnsi="Arial" w:cs="Arial"/>
              </w:rPr>
              <w:t xml:space="preserve">Cardiovascular Symptoms </w:t>
            </w:r>
          </w:p>
          <w:p w14:paraId="2FFCDD6D"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Chest tightness</w:t>
            </w:r>
          </w:p>
          <w:p w14:paraId="01BC4A6C"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Chest Pain</w:t>
            </w:r>
          </w:p>
          <w:p w14:paraId="66363F30" w14:textId="6A731921"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 xml:space="preserve">Palpitations </w:t>
            </w:r>
          </w:p>
        </w:tc>
        <w:tc>
          <w:tcPr>
            <w:tcW w:w="3006" w:type="dxa"/>
          </w:tcPr>
          <w:p w14:paraId="0ACA3F8E" w14:textId="77777777" w:rsidR="00BB665C" w:rsidRPr="008D0295" w:rsidRDefault="00BB665C" w:rsidP="002160B3">
            <w:pPr>
              <w:jc w:val="both"/>
              <w:rPr>
                <w:rFonts w:ascii="Arial" w:hAnsi="Arial" w:cs="Arial"/>
              </w:rPr>
            </w:pPr>
            <w:r w:rsidRPr="008D0295">
              <w:rPr>
                <w:rFonts w:ascii="Arial" w:hAnsi="Arial" w:cs="Arial"/>
              </w:rPr>
              <w:t xml:space="preserve">Generalised Symptoms </w:t>
            </w:r>
          </w:p>
          <w:p w14:paraId="0F20D7DB"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 xml:space="preserve">Fatigue </w:t>
            </w:r>
          </w:p>
          <w:p w14:paraId="533889DA"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Fever</w:t>
            </w:r>
          </w:p>
          <w:p w14:paraId="4A230667" w14:textId="5845F7C2"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Pain</w:t>
            </w:r>
          </w:p>
        </w:tc>
      </w:tr>
      <w:tr w:rsidR="00BB665C" w:rsidRPr="008D0295" w14:paraId="3290D8AF" w14:textId="77777777" w:rsidTr="00BB665C">
        <w:tc>
          <w:tcPr>
            <w:tcW w:w="3005" w:type="dxa"/>
          </w:tcPr>
          <w:p w14:paraId="4C79902E" w14:textId="77777777" w:rsidR="00BB665C" w:rsidRPr="008D0295" w:rsidRDefault="00BB665C" w:rsidP="002160B3">
            <w:pPr>
              <w:jc w:val="both"/>
              <w:rPr>
                <w:rFonts w:ascii="Arial" w:hAnsi="Arial" w:cs="Arial"/>
              </w:rPr>
            </w:pPr>
            <w:r w:rsidRPr="008D0295">
              <w:rPr>
                <w:rFonts w:ascii="Arial" w:hAnsi="Arial" w:cs="Arial"/>
              </w:rPr>
              <w:t xml:space="preserve">Neurological Symptoms </w:t>
            </w:r>
          </w:p>
          <w:p w14:paraId="719A932D"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Cognitive impairment ('brain fog')</w:t>
            </w:r>
          </w:p>
          <w:p w14:paraId="000ACBBB"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Headache</w:t>
            </w:r>
          </w:p>
          <w:p w14:paraId="18F75E4A"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Sleep disturbance</w:t>
            </w:r>
          </w:p>
          <w:p w14:paraId="6E26B11B"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 xml:space="preserve">Peripheral neuropathy symptoms </w:t>
            </w:r>
          </w:p>
          <w:p w14:paraId="70FF27AE"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Dizziness</w:t>
            </w:r>
          </w:p>
          <w:p w14:paraId="2C08F254"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Delirium</w:t>
            </w:r>
          </w:p>
          <w:p w14:paraId="6443EFD1" w14:textId="77777777"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Mobility impairment</w:t>
            </w:r>
          </w:p>
          <w:p w14:paraId="33B63E6A" w14:textId="6C3F0DF3" w:rsidR="00BB665C" w:rsidRPr="008D0295" w:rsidRDefault="00BB665C" w:rsidP="007645CC">
            <w:pPr>
              <w:pStyle w:val="ListParagraph"/>
              <w:numPr>
                <w:ilvl w:val="0"/>
                <w:numId w:val="17"/>
              </w:numPr>
              <w:jc w:val="both"/>
              <w:rPr>
                <w:rFonts w:ascii="Arial" w:hAnsi="Arial" w:cs="Arial"/>
              </w:rPr>
            </w:pPr>
            <w:r w:rsidRPr="008D0295">
              <w:rPr>
                <w:rFonts w:ascii="Arial" w:hAnsi="Arial" w:cs="Arial"/>
              </w:rPr>
              <w:t xml:space="preserve">Visual disturbance </w:t>
            </w:r>
          </w:p>
        </w:tc>
        <w:tc>
          <w:tcPr>
            <w:tcW w:w="3005" w:type="dxa"/>
          </w:tcPr>
          <w:p w14:paraId="27978257" w14:textId="77777777" w:rsidR="00EA0760" w:rsidRPr="008D0295" w:rsidRDefault="00EA0760" w:rsidP="00EA0760">
            <w:pPr>
              <w:jc w:val="both"/>
              <w:rPr>
                <w:rFonts w:ascii="Arial" w:hAnsi="Arial" w:cs="Arial"/>
              </w:rPr>
            </w:pPr>
            <w:r w:rsidRPr="008D0295">
              <w:rPr>
                <w:rFonts w:ascii="Arial" w:hAnsi="Arial" w:cs="Arial"/>
              </w:rPr>
              <w:t xml:space="preserve">Psychological / psychiatric symptoms </w:t>
            </w:r>
          </w:p>
          <w:p w14:paraId="7A700670" w14:textId="77777777" w:rsidR="00EA0760" w:rsidRPr="008D0295" w:rsidRDefault="00EA0760" w:rsidP="007645CC">
            <w:pPr>
              <w:pStyle w:val="ListParagraph"/>
              <w:numPr>
                <w:ilvl w:val="0"/>
                <w:numId w:val="17"/>
              </w:numPr>
              <w:rPr>
                <w:rFonts w:ascii="Arial" w:hAnsi="Arial" w:cs="Arial"/>
              </w:rPr>
            </w:pPr>
            <w:r w:rsidRPr="008D0295">
              <w:rPr>
                <w:rFonts w:ascii="Arial" w:hAnsi="Arial" w:cs="Arial"/>
              </w:rPr>
              <w:t>Symptoms of depression</w:t>
            </w:r>
          </w:p>
          <w:p w14:paraId="2886B30F" w14:textId="77777777" w:rsidR="00EA0760" w:rsidRPr="008D0295" w:rsidRDefault="00EA0760" w:rsidP="007645CC">
            <w:pPr>
              <w:pStyle w:val="ListParagraph"/>
              <w:numPr>
                <w:ilvl w:val="0"/>
                <w:numId w:val="17"/>
              </w:numPr>
              <w:rPr>
                <w:rFonts w:ascii="Arial" w:hAnsi="Arial" w:cs="Arial"/>
              </w:rPr>
            </w:pPr>
            <w:r w:rsidRPr="008D0295">
              <w:rPr>
                <w:rFonts w:ascii="Arial" w:hAnsi="Arial" w:cs="Arial"/>
              </w:rPr>
              <w:t>Symptoms of anxiety</w:t>
            </w:r>
          </w:p>
          <w:p w14:paraId="71853C46" w14:textId="3C5C1466" w:rsidR="00EA0760" w:rsidRPr="008D0295" w:rsidRDefault="00EA0760" w:rsidP="007645CC">
            <w:pPr>
              <w:pStyle w:val="ListParagraph"/>
              <w:numPr>
                <w:ilvl w:val="0"/>
                <w:numId w:val="17"/>
              </w:numPr>
              <w:rPr>
                <w:rFonts w:ascii="Arial" w:hAnsi="Arial" w:cs="Arial"/>
              </w:rPr>
            </w:pPr>
            <w:r w:rsidRPr="008D0295">
              <w:rPr>
                <w:rFonts w:ascii="Arial" w:hAnsi="Arial" w:cs="Arial"/>
              </w:rPr>
              <w:t>Symptoms of post-traumatic stress disorder</w:t>
            </w:r>
          </w:p>
        </w:tc>
        <w:tc>
          <w:tcPr>
            <w:tcW w:w="3006" w:type="dxa"/>
          </w:tcPr>
          <w:p w14:paraId="1C0708ED" w14:textId="77777777" w:rsidR="00EA0760" w:rsidRPr="008D0295" w:rsidRDefault="00EA0760" w:rsidP="00EA0760">
            <w:pPr>
              <w:jc w:val="both"/>
              <w:rPr>
                <w:rFonts w:ascii="Arial" w:hAnsi="Arial" w:cs="Arial"/>
              </w:rPr>
            </w:pPr>
            <w:r w:rsidRPr="008D0295">
              <w:rPr>
                <w:rFonts w:ascii="Arial" w:hAnsi="Arial" w:cs="Arial"/>
              </w:rPr>
              <w:t xml:space="preserve">Ear, nose and throat symptoms </w:t>
            </w:r>
          </w:p>
          <w:p w14:paraId="666E459E"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 xml:space="preserve">Tinnitus </w:t>
            </w:r>
          </w:p>
          <w:p w14:paraId="713F247D"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Earache</w:t>
            </w:r>
          </w:p>
          <w:p w14:paraId="3DC51568"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Sore throat</w:t>
            </w:r>
          </w:p>
          <w:p w14:paraId="1D94AA90"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Dizziness</w:t>
            </w:r>
          </w:p>
          <w:p w14:paraId="1F7C265A"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Loss of taste and / or smell</w:t>
            </w:r>
          </w:p>
          <w:p w14:paraId="1F664C7B" w14:textId="26ED41B4"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 xml:space="preserve">Nasal congestion </w:t>
            </w:r>
          </w:p>
        </w:tc>
      </w:tr>
      <w:tr w:rsidR="00EA0760" w:rsidRPr="008D0295" w14:paraId="010EBDAB" w14:textId="77777777" w:rsidTr="00BB665C">
        <w:tc>
          <w:tcPr>
            <w:tcW w:w="3005" w:type="dxa"/>
          </w:tcPr>
          <w:p w14:paraId="3C988BB9" w14:textId="77777777" w:rsidR="00EA0760" w:rsidRPr="008D0295" w:rsidRDefault="00EA0760" w:rsidP="00EA0760">
            <w:pPr>
              <w:jc w:val="both"/>
              <w:rPr>
                <w:rFonts w:ascii="Arial" w:hAnsi="Arial" w:cs="Arial"/>
              </w:rPr>
            </w:pPr>
            <w:r w:rsidRPr="008D0295">
              <w:rPr>
                <w:rFonts w:ascii="Arial" w:hAnsi="Arial" w:cs="Arial"/>
              </w:rPr>
              <w:t>Musculoskeletal symptoms</w:t>
            </w:r>
          </w:p>
          <w:p w14:paraId="43350801"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Joint pain</w:t>
            </w:r>
          </w:p>
          <w:p w14:paraId="6480F95C"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Muscle pain</w:t>
            </w:r>
          </w:p>
          <w:p w14:paraId="79D58EC8" w14:textId="77777777" w:rsidR="00EA0760" w:rsidRPr="008D0295" w:rsidRDefault="00EA0760" w:rsidP="00EA0760">
            <w:pPr>
              <w:jc w:val="both"/>
              <w:rPr>
                <w:rFonts w:ascii="Arial" w:hAnsi="Arial" w:cs="Arial"/>
              </w:rPr>
            </w:pPr>
          </w:p>
        </w:tc>
        <w:tc>
          <w:tcPr>
            <w:tcW w:w="3005" w:type="dxa"/>
          </w:tcPr>
          <w:p w14:paraId="40780070" w14:textId="77777777" w:rsidR="00EA0760" w:rsidRPr="008D0295" w:rsidRDefault="00EA0760" w:rsidP="00EA0760">
            <w:pPr>
              <w:jc w:val="both"/>
              <w:rPr>
                <w:rFonts w:ascii="Arial" w:hAnsi="Arial" w:cs="Arial"/>
              </w:rPr>
            </w:pPr>
            <w:r w:rsidRPr="008D0295">
              <w:rPr>
                <w:rFonts w:ascii="Arial" w:hAnsi="Arial" w:cs="Arial"/>
              </w:rPr>
              <w:t xml:space="preserve">Dermatological symptoms </w:t>
            </w:r>
          </w:p>
          <w:p w14:paraId="477539D6"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Skin rashes</w:t>
            </w:r>
          </w:p>
          <w:p w14:paraId="10D38D5D" w14:textId="37460C28"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 xml:space="preserve">Hair loss </w:t>
            </w:r>
          </w:p>
        </w:tc>
        <w:tc>
          <w:tcPr>
            <w:tcW w:w="3006" w:type="dxa"/>
          </w:tcPr>
          <w:p w14:paraId="182BFB48" w14:textId="77777777" w:rsidR="00EA0760" w:rsidRPr="008D0295" w:rsidRDefault="00EA0760" w:rsidP="00EA0760">
            <w:pPr>
              <w:jc w:val="both"/>
              <w:rPr>
                <w:rFonts w:ascii="Arial" w:hAnsi="Arial" w:cs="Arial"/>
              </w:rPr>
            </w:pPr>
            <w:r w:rsidRPr="008D0295">
              <w:rPr>
                <w:rFonts w:ascii="Arial" w:hAnsi="Arial" w:cs="Arial"/>
              </w:rPr>
              <w:t xml:space="preserve">Gastrointestinal Symptoms </w:t>
            </w:r>
          </w:p>
          <w:p w14:paraId="6A53B5EC"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Abdominal pain</w:t>
            </w:r>
          </w:p>
          <w:p w14:paraId="2877047D"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Nausea and vomiting</w:t>
            </w:r>
          </w:p>
          <w:p w14:paraId="78F3FC82" w14:textId="77777777" w:rsidR="00EA0760" w:rsidRPr="008D0295" w:rsidRDefault="00EA0760" w:rsidP="007645CC">
            <w:pPr>
              <w:pStyle w:val="ListParagraph"/>
              <w:numPr>
                <w:ilvl w:val="0"/>
                <w:numId w:val="17"/>
              </w:numPr>
              <w:jc w:val="both"/>
              <w:rPr>
                <w:rFonts w:ascii="Arial" w:hAnsi="Arial" w:cs="Arial"/>
              </w:rPr>
            </w:pPr>
            <w:r w:rsidRPr="008D0295">
              <w:rPr>
                <w:rFonts w:ascii="Arial" w:hAnsi="Arial" w:cs="Arial"/>
              </w:rPr>
              <w:t>Diarrhoea</w:t>
            </w:r>
          </w:p>
          <w:p w14:paraId="1EE2E242" w14:textId="23911B58" w:rsidR="00EA0760" w:rsidRPr="008D0295" w:rsidRDefault="00EA0760" w:rsidP="007645CC">
            <w:pPr>
              <w:pStyle w:val="ListParagraph"/>
              <w:numPr>
                <w:ilvl w:val="0"/>
                <w:numId w:val="17"/>
              </w:numPr>
              <w:rPr>
                <w:rFonts w:ascii="Arial" w:hAnsi="Arial" w:cs="Arial"/>
              </w:rPr>
            </w:pPr>
            <w:r w:rsidRPr="008D0295">
              <w:rPr>
                <w:rFonts w:ascii="Arial" w:hAnsi="Arial" w:cs="Arial"/>
              </w:rPr>
              <w:t xml:space="preserve">Weight loss and reduced appetite </w:t>
            </w:r>
          </w:p>
        </w:tc>
      </w:tr>
    </w:tbl>
    <w:p w14:paraId="18CA5694" w14:textId="77777777" w:rsidR="008D0295" w:rsidRDefault="008D0295" w:rsidP="008D0295">
      <w:pPr>
        <w:pStyle w:val="Heading2"/>
      </w:pPr>
    </w:p>
    <w:p w14:paraId="0BC51B53" w14:textId="5A054F91" w:rsidR="003F1BCC" w:rsidRPr="008D0295" w:rsidRDefault="00347210" w:rsidP="008D0295">
      <w:pPr>
        <w:pStyle w:val="Heading2"/>
      </w:pPr>
      <w:bookmarkStart w:id="6" w:name="_Toc211436397"/>
      <w:r w:rsidRPr="008D0295">
        <w:t>2</w:t>
      </w:r>
      <w:r w:rsidR="00B33CB1" w:rsidRPr="008D0295">
        <w:t>.</w:t>
      </w:r>
      <w:r w:rsidR="00CA28B6" w:rsidRPr="008D0295">
        <w:t>3</w:t>
      </w:r>
      <w:r w:rsidR="00B33CB1" w:rsidRPr="008D0295">
        <w:t xml:space="preserve"> Overview of Service </w:t>
      </w:r>
      <w:r w:rsidRPr="008D0295">
        <w:t>Implementation</w:t>
      </w:r>
      <w:bookmarkEnd w:id="6"/>
    </w:p>
    <w:p w14:paraId="5B7754BB" w14:textId="77777777" w:rsidR="00CC1524" w:rsidRPr="008D0295" w:rsidRDefault="00CC1524" w:rsidP="00CC1524">
      <w:pPr>
        <w:rPr>
          <w:rFonts w:ascii="Arial" w:hAnsi="Arial" w:cs="Arial"/>
        </w:rPr>
      </w:pPr>
    </w:p>
    <w:p w14:paraId="3C1A48A2" w14:textId="7B2016BD" w:rsidR="007719B7" w:rsidRPr="008D0295" w:rsidRDefault="007719B7" w:rsidP="00F4449E">
      <w:pPr>
        <w:spacing w:line="240" w:lineRule="auto"/>
        <w:jc w:val="both"/>
        <w:rPr>
          <w:rFonts w:ascii="Arial" w:hAnsi="Arial" w:cs="Arial"/>
        </w:rPr>
      </w:pPr>
      <w:r w:rsidRPr="008D0295">
        <w:rPr>
          <w:rFonts w:ascii="Arial" w:hAnsi="Arial" w:cs="Arial"/>
        </w:rPr>
        <w:t>In October 2020 NHS England and NHS Improvement (NHSE/I) announced nationwide investment to implement Post</w:t>
      </w:r>
      <w:r w:rsidR="00CC1524" w:rsidRPr="008D0295">
        <w:rPr>
          <w:rFonts w:ascii="Arial" w:hAnsi="Arial" w:cs="Arial"/>
        </w:rPr>
        <w:t xml:space="preserve"> (Long)</w:t>
      </w:r>
      <w:r w:rsidRPr="008D0295">
        <w:rPr>
          <w:rFonts w:ascii="Arial" w:hAnsi="Arial" w:cs="Arial"/>
        </w:rPr>
        <w:t xml:space="preserve"> COVID Syndrome Assessment Clinics across</w:t>
      </w:r>
      <w:r w:rsidR="009843F6" w:rsidRPr="008D0295">
        <w:rPr>
          <w:rFonts w:ascii="Arial" w:hAnsi="Arial" w:cs="Arial"/>
        </w:rPr>
        <w:t xml:space="preserve"> what was previously the </w:t>
      </w:r>
      <w:r w:rsidRPr="008D0295">
        <w:rPr>
          <w:rFonts w:ascii="Arial" w:hAnsi="Arial" w:cs="Arial"/>
        </w:rPr>
        <w:t xml:space="preserve"> </w:t>
      </w:r>
      <w:hyperlink r:id="rId8" w:history="1">
        <w:r w:rsidR="00B976C5" w:rsidRPr="008D0295">
          <w:rPr>
            <w:rStyle w:val="Hyperlink"/>
            <w:rFonts w:ascii="Arial" w:hAnsi="Arial" w:cs="Arial"/>
          </w:rPr>
          <w:t>Sustainability and transformation (STP)</w:t>
        </w:r>
      </w:hyperlink>
      <w:r w:rsidRPr="008D0295">
        <w:rPr>
          <w:rFonts w:ascii="Arial" w:hAnsi="Arial" w:cs="Arial"/>
        </w:rPr>
        <w:t xml:space="preserve"> footprints</w:t>
      </w:r>
      <w:r w:rsidR="009843F6" w:rsidRPr="008D0295">
        <w:rPr>
          <w:rFonts w:ascii="Arial" w:hAnsi="Arial" w:cs="Arial"/>
        </w:rPr>
        <w:t xml:space="preserve"> but we now present as Derby and Derbyshire Integrated Care Board.  </w:t>
      </w:r>
    </w:p>
    <w:p w14:paraId="3AE7DD77" w14:textId="013B9491" w:rsidR="002E5922" w:rsidRPr="008D0295" w:rsidRDefault="007719B7" w:rsidP="00F4449E">
      <w:pPr>
        <w:spacing w:line="240" w:lineRule="auto"/>
        <w:jc w:val="both"/>
        <w:rPr>
          <w:rFonts w:ascii="Arial" w:hAnsi="Arial" w:cs="Arial"/>
        </w:rPr>
      </w:pPr>
      <w:r w:rsidRPr="008D0295">
        <w:rPr>
          <w:rFonts w:ascii="Arial" w:hAnsi="Arial" w:cs="Arial"/>
        </w:rPr>
        <w:t>Aligned to the NHSE/I g</w:t>
      </w:r>
      <w:r w:rsidR="00AE7EFB" w:rsidRPr="008D0295">
        <w:rPr>
          <w:rFonts w:ascii="Arial" w:hAnsi="Arial" w:cs="Arial"/>
        </w:rPr>
        <w:t xml:space="preserve">uidance </w:t>
      </w:r>
      <w:r w:rsidRPr="008D0295">
        <w:rPr>
          <w:rFonts w:ascii="Arial" w:hAnsi="Arial" w:cs="Arial"/>
        </w:rPr>
        <w:t xml:space="preserve">the Derbyshire </w:t>
      </w:r>
      <w:r w:rsidR="00742FB9" w:rsidRPr="008D0295">
        <w:rPr>
          <w:rFonts w:ascii="Arial" w:hAnsi="Arial" w:cs="Arial"/>
        </w:rPr>
        <w:t xml:space="preserve">Post (Long) COVID </w:t>
      </w:r>
      <w:r w:rsidRPr="008D0295">
        <w:rPr>
          <w:rFonts w:ascii="Arial" w:hAnsi="Arial" w:cs="Arial"/>
        </w:rPr>
        <w:t>Syndrome Assessment Clinic was launched in December 2020</w:t>
      </w:r>
      <w:r w:rsidR="004E26FC" w:rsidRPr="008D0295">
        <w:rPr>
          <w:rFonts w:ascii="Arial" w:hAnsi="Arial" w:cs="Arial"/>
        </w:rPr>
        <w:t xml:space="preserve">. </w:t>
      </w:r>
      <w:r w:rsidRPr="008D0295">
        <w:rPr>
          <w:rFonts w:ascii="Arial" w:hAnsi="Arial" w:cs="Arial"/>
        </w:rPr>
        <w:t xml:space="preserve">The lead provider </w:t>
      </w:r>
      <w:r w:rsidR="004952F7" w:rsidRPr="008D0295">
        <w:rPr>
          <w:rFonts w:ascii="Arial" w:hAnsi="Arial" w:cs="Arial"/>
        </w:rPr>
        <w:t xml:space="preserve">was </w:t>
      </w:r>
      <w:r w:rsidRPr="008D0295">
        <w:rPr>
          <w:rFonts w:ascii="Arial" w:hAnsi="Arial" w:cs="Arial"/>
        </w:rPr>
        <w:t>D</w:t>
      </w:r>
      <w:r w:rsidR="00B976C5" w:rsidRPr="008D0295">
        <w:rPr>
          <w:rFonts w:ascii="Arial" w:hAnsi="Arial" w:cs="Arial"/>
        </w:rPr>
        <w:t xml:space="preserve">erbyshire </w:t>
      </w:r>
      <w:r w:rsidRPr="008D0295">
        <w:rPr>
          <w:rFonts w:ascii="Arial" w:hAnsi="Arial" w:cs="Arial"/>
        </w:rPr>
        <w:t>C</w:t>
      </w:r>
      <w:r w:rsidR="00B976C5" w:rsidRPr="008D0295">
        <w:rPr>
          <w:rFonts w:ascii="Arial" w:hAnsi="Arial" w:cs="Arial"/>
        </w:rPr>
        <w:t xml:space="preserve">ommunity </w:t>
      </w:r>
      <w:r w:rsidRPr="008D0295">
        <w:rPr>
          <w:rFonts w:ascii="Arial" w:hAnsi="Arial" w:cs="Arial"/>
        </w:rPr>
        <w:t>H</w:t>
      </w:r>
      <w:r w:rsidR="00B976C5" w:rsidRPr="008D0295">
        <w:rPr>
          <w:rFonts w:ascii="Arial" w:hAnsi="Arial" w:cs="Arial"/>
        </w:rPr>
        <w:t xml:space="preserve">ealth </w:t>
      </w:r>
      <w:r w:rsidRPr="008D0295">
        <w:rPr>
          <w:rFonts w:ascii="Arial" w:hAnsi="Arial" w:cs="Arial"/>
        </w:rPr>
        <w:t>S</w:t>
      </w:r>
      <w:r w:rsidR="00B976C5" w:rsidRPr="008D0295">
        <w:rPr>
          <w:rFonts w:ascii="Arial" w:hAnsi="Arial" w:cs="Arial"/>
        </w:rPr>
        <w:t>ervices (DCHS)</w:t>
      </w:r>
      <w:r w:rsidR="004E26FC" w:rsidRPr="008D0295">
        <w:rPr>
          <w:rFonts w:ascii="Arial" w:hAnsi="Arial" w:cs="Arial"/>
        </w:rPr>
        <w:t xml:space="preserve">. </w:t>
      </w:r>
    </w:p>
    <w:p w14:paraId="720AE12C" w14:textId="181436DB" w:rsidR="007719B7" w:rsidRPr="008D0295" w:rsidRDefault="00393CC6" w:rsidP="00393CC6">
      <w:pPr>
        <w:jc w:val="both"/>
      </w:pPr>
      <w:r w:rsidRPr="00393CC6">
        <w:rPr>
          <w:rFonts w:ascii="Arial" w:hAnsi="Arial" w:cs="Arial"/>
          <w:color w:val="000000"/>
        </w:rPr>
        <w:lastRenderedPageBreak/>
        <w:t>The service offered physical, cognitive, and psychological assessments for patients with suspected Post (Long) COVID, providing centrali</w:t>
      </w:r>
      <w:r>
        <w:rPr>
          <w:rFonts w:ascii="Arial" w:hAnsi="Arial" w:cs="Arial"/>
          <w:color w:val="000000"/>
        </w:rPr>
        <w:t>s</w:t>
      </w:r>
      <w:r w:rsidRPr="00393CC6">
        <w:rPr>
          <w:rFonts w:ascii="Arial" w:hAnsi="Arial" w:cs="Arial"/>
          <w:color w:val="000000"/>
        </w:rPr>
        <w:t>ed advice and referrals to rehabilitation, psychological support, or speciali</w:t>
      </w:r>
      <w:r w:rsidR="002E1F3E">
        <w:rPr>
          <w:rFonts w:ascii="Arial" w:hAnsi="Arial" w:cs="Arial"/>
          <w:color w:val="000000"/>
        </w:rPr>
        <w:t>s</w:t>
      </w:r>
      <w:r w:rsidRPr="00393CC6">
        <w:rPr>
          <w:rFonts w:ascii="Arial" w:hAnsi="Arial" w:cs="Arial"/>
          <w:color w:val="000000"/>
        </w:rPr>
        <w:t>ed investigations as needed.</w:t>
      </w:r>
    </w:p>
    <w:p w14:paraId="05E346FE" w14:textId="53B066F3" w:rsidR="00DA4C64" w:rsidRPr="008D0295" w:rsidRDefault="007719B7" w:rsidP="00F4449E">
      <w:pPr>
        <w:spacing w:line="240" w:lineRule="auto"/>
        <w:jc w:val="both"/>
        <w:rPr>
          <w:rFonts w:ascii="Arial" w:hAnsi="Arial" w:cs="Arial"/>
        </w:rPr>
      </w:pPr>
      <w:r w:rsidRPr="008D0295">
        <w:rPr>
          <w:rFonts w:ascii="Arial" w:hAnsi="Arial" w:cs="Arial"/>
        </w:rPr>
        <w:t xml:space="preserve">Only patients with complex </w:t>
      </w:r>
      <w:r w:rsidR="00742FB9" w:rsidRPr="008D0295">
        <w:rPr>
          <w:rFonts w:ascii="Arial" w:hAnsi="Arial" w:cs="Arial"/>
        </w:rPr>
        <w:t xml:space="preserve">Post (Long) COVID </w:t>
      </w:r>
      <w:r w:rsidRPr="008D0295">
        <w:rPr>
          <w:rFonts w:ascii="Arial" w:hAnsi="Arial" w:cs="Arial"/>
        </w:rPr>
        <w:t xml:space="preserve">symptoms </w:t>
      </w:r>
      <w:r w:rsidR="00766D49" w:rsidRPr="008D0295">
        <w:rPr>
          <w:rFonts w:ascii="Arial" w:hAnsi="Arial" w:cs="Arial"/>
        </w:rPr>
        <w:t>were to be</w:t>
      </w:r>
      <w:r w:rsidRPr="008D0295">
        <w:rPr>
          <w:rFonts w:ascii="Arial" w:hAnsi="Arial" w:cs="Arial"/>
        </w:rPr>
        <w:t xml:space="preserve"> referred to the assessment clinic</w:t>
      </w:r>
      <w:r w:rsidR="00393CC6">
        <w:rPr>
          <w:rFonts w:ascii="Arial" w:hAnsi="Arial" w:cs="Arial"/>
        </w:rPr>
        <w:t>, with r</w:t>
      </w:r>
      <w:r w:rsidRPr="008D0295">
        <w:rPr>
          <w:rFonts w:ascii="Arial" w:hAnsi="Arial" w:cs="Arial"/>
        </w:rPr>
        <w:t>eferrals into the service via primary care and secondary care.</w:t>
      </w:r>
    </w:p>
    <w:p w14:paraId="7B272CCD" w14:textId="7E014CD3" w:rsidR="00DA4C64" w:rsidRPr="008D0295" w:rsidRDefault="00DA4C64" w:rsidP="00F4449E">
      <w:pPr>
        <w:spacing w:line="240" w:lineRule="auto"/>
        <w:jc w:val="both"/>
        <w:rPr>
          <w:rFonts w:ascii="Arial" w:hAnsi="Arial" w:cs="Arial"/>
        </w:rPr>
      </w:pPr>
      <w:r w:rsidRPr="008D0295">
        <w:rPr>
          <w:rFonts w:ascii="Arial" w:hAnsi="Arial" w:cs="Arial"/>
        </w:rPr>
        <w:t xml:space="preserve">NHSE guidance was published in June 2021 to support the further development of the end-to-end </w:t>
      </w:r>
      <w:r w:rsidR="00CC1524" w:rsidRPr="008D0295">
        <w:rPr>
          <w:rFonts w:ascii="Arial" w:hAnsi="Arial" w:cs="Arial"/>
        </w:rPr>
        <w:t>Post (</w:t>
      </w:r>
      <w:r w:rsidRPr="008D0295">
        <w:rPr>
          <w:rFonts w:ascii="Arial" w:hAnsi="Arial" w:cs="Arial"/>
        </w:rPr>
        <w:t>Long</w:t>
      </w:r>
      <w:r w:rsidR="00CC1524" w:rsidRPr="008D0295">
        <w:rPr>
          <w:rFonts w:ascii="Arial" w:hAnsi="Arial" w:cs="Arial"/>
        </w:rPr>
        <w:t>)</w:t>
      </w:r>
      <w:r w:rsidRPr="008D0295">
        <w:rPr>
          <w:rFonts w:ascii="Arial" w:hAnsi="Arial" w:cs="Arial"/>
        </w:rPr>
        <w:t xml:space="preserve"> Covid pathway. It specifically focussed on the rehabilitation needs, spanning across several areas, to aid the recovery of a proportion of patients who, following initial assessment, were identified as requiring a form of rehabilitation. In most cases the rehabilitation needs spanned across Chronic Fatigue, Breathlessness</w:t>
      </w:r>
      <w:r w:rsidR="00A578FE" w:rsidRPr="008D0295">
        <w:rPr>
          <w:rFonts w:ascii="Arial" w:hAnsi="Arial" w:cs="Arial"/>
        </w:rPr>
        <w:t>, Vocational</w:t>
      </w:r>
      <w:r w:rsidRPr="008D0295">
        <w:rPr>
          <w:rFonts w:ascii="Arial" w:hAnsi="Arial" w:cs="Arial"/>
        </w:rPr>
        <w:t xml:space="preserve"> and </w:t>
      </w:r>
      <w:r w:rsidR="00A578FE" w:rsidRPr="008D0295">
        <w:rPr>
          <w:rFonts w:ascii="Arial" w:hAnsi="Arial" w:cs="Arial"/>
        </w:rPr>
        <w:t>P</w:t>
      </w:r>
      <w:r w:rsidRPr="008D0295">
        <w:rPr>
          <w:rFonts w:ascii="Arial" w:hAnsi="Arial" w:cs="Arial"/>
        </w:rPr>
        <w:t xml:space="preserve">sychological support. </w:t>
      </w:r>
    </w:p>
    <w:p w14:paraId="676E0FD7" w14:textId="5ECA03E1" w:rsidR="00DA4C64" w:rsidRPr="008D0295" w:rsidRDefault="00DA4C64" w:rsidP="00F4449E">
      <w:pPr>
        <w:spacing w:line="240" w:lineRule="auto"/>
        <w:jc w:val="both"/>
        <w:rPr>
          <w:rFonts w:ascii="Arial" w:hAnsi="Arial" w:cs="Arial"/>
        </w:rPr>
      </w:pPr>
      <w:r w:rsidRPr="008D0295">
        <w:rPr>
          <w:rFonts w:ascii="Arial" w:hAnsi="Arial" w:cs="Arial"/>
        </w:rPr>
        <w:t xml:space="preserve">Work commenced to devise and develop a suitable rehabilitation offer for the Post (Long) Covid service, taking learning from the assessment service and </w:t>
      </w:r>
      <w:r w:rsidR="00C47734" w:rsidRPr="008D0295">
        <w:rPr>
          <w:rFonts w:ascii="Arial" w:hAnsi="Arial" w:cs="Arial"/>
        </w:rPr>
        <w:t>collaborating</w:t>
      </w:r>
      <w:r w:rsidRPr="008D0295">
        <w:rPr>
          <w:rFonts w:ascii="Arial" w:hAnsi="Arial" w:cs="Arial"/>
        </w:rPr>
        <w:t xml:space="preserve"> with clinical specialists and operational leads across the system. A workforce plan and pathway were developed and agreed early in 2022. </w:t>
      </w:r>
      <w:r w:rsidR="004952F7" w:rsidRPr="008D0295">
        <w:rPr>
          <w:rFonts w:ascii="Arial" w:hAnsi="Arial" w:cs="Arial"/>
        </w:rPr>
        <w:t>The</w:t>
      </w:r>
      <w:r w:rsidR="002160B3" w:rsidRPr="008D0295">
        <w:rPr>
          <w:rFonts w:ascii="Arial" w:hAnsi="Arial" w:cs="Arial"/>
        </w:rPr>
        <w:t xml:space="preserve">se services were </w:t>
      </w:r>
      <w:r w:rsidR="004952F7" w:rsidRPr="008D0295">
        <w:rPr>
          <w:rFonts w:ascii="Arial" w:hAnsi="Arial" w:cs="Arial"/>
        </w:rPr>
        <w:t>provided by DCHS, Chesterfield Royal Hospital (CRH) and University Hospitals Derby and Burton (UHDB)</w:t>
      </w:r>
    </w:p>
    <w:p w14:paraId="6FCCEAB7" w14:textId="12AF4702" w:rsidR="00AD7893" w:rsidRDefault="00F939A4" w:rsidP="008D0295">
      <w:pPr>
        <w:pStyle w:val="Heading2"/>
      </w:pPr>
      <w:bookmarkStart w:id="7" w:name="_Toc211436398"/>
      <w:r w:rsidRPr="008D0295">
        <w:t>2.</w:t>
      </w:r>
      <w:r w:rsidR="00391BDC" w:rsidRPr="008D0295">
        <w:t>4</w:t>
      </w:r>
      <w:r w:rsidRPr="008D0295">
        <w:t xml:space="preserve"> </w:t>
      </w:r>
      <w:r w:rsidR="00C072ED">
        <w:t>20</w:t>
      </w:r>
      <w:r w:rsidRPr="008D0295">
        <w:t>23/24 service review</w:t>
      </w:r>
      <w:bookmarkEnd w:id="7"/>
    </w:p>
    <w:p w14:paraId="5F7ED260" w14:textId="77777777" w:rsidR="008D0295" w:rsidRPr="008D0295" w:rsidRDefault="008D0295" w:rsidP="008D0295"/>
    <w:p w14:paraId="6C43E3E4" w14:textId="77777777" w:rsidR="00590033" w:rsidRPr="008D0295" w:rsidRDefault="00590033" w:rsidP="00590033">
      <w:pPr>
        <w:spacing w:line="240" w:lineRule="auto"/>
        <w:jc w:val="both"/>
        <w:rPr>
          <w:rFonts w:ascii="Arial" w:hAnsi="Arial" w:cs="Arial"/>
        </w:rPr>
      </w:pPr>
      <w:r w:rsidRPr="008D0295">
        <w:rPr>
          <w:rFonts w:ascii="Arial" w:hAnsi="Arial" w:cs="Arial"/>
        </w:rPr>
        <w:t xml:space="preserve">In 2023 a comprehensive service review was carried out. </w:t>
      </w:r>
    </w:p>
    <w:p w14:paraId="59C511D4" w14:textId="4D91C51E" w:rsidR="00590033" w:rsidRPr="008D0295" w:rsidRDefault="00590033" w:rsidP="00590033">
      <w:pPr>
        <w:spacing w:line="240" w:lineRule="auto"/>
        <w:jc w:val="both"/>
        <w:rPr>
          <w:rFonts w:ascii="Arial" w:hAnsi="Arial" w:cs="Arial"/>
        </w:rPr>
      </w:pPr>
      <w:r w:rsidRPr="008D0295">
        <w:rPr>
          <w:rFonts w:ascii="Arial" w:hAnsi="Arial" w:cs="Arial"/>
        </w:rPr>
        <w:t>The drivers for the review were:</w:t>
      </w:r>
    </w:p>
    <w:p w14:paraId="416807AC" w14:textId="0D6A3FE5" w:rsidR="00590033" w:rsidRPr="008D0295" w:rsidRDefault="00590033" w:rsidP="007645CC">
      <w:pPr>
        <w:pStyle w:val="ListParagraph"/>
        <w:numPr>
          <w:ilvl w:val="0"/>
          <w:numId w:val="21"/>
        </w:numPr>
        <w:spacing w:line="240" w:lineRule="auto"/>
        <w:jc w:val="both"/>
        <w:rPr>
          <w:rFonts w:ascii="Arial" w:hAnsi="Arial" w:cs="Arial"/>
        </w:rPr>
      </w:pPr>
      <w:r w:rsidRPr="008D0295">
        <w:rPr>
          <w:rFonts w:ascii="Arial" w:hAnsi="Arial" w:cs="Arial"/>
          <w:b/>
          <w:bCs/>
        </w:rPr>
        <w:t>Declining Referrals</w:t>
      </w:r>
      <w:r w:rsidRPr="008D0295">
        <w:rPr>
          <w:rFonts w:ascii="Arial" w:hAnsi="Arial" w:cs="Arial"/>
        </w:rPr>
        <w:t xml:space="preserve">: Weekly referrals </w:t>
      </w:r>
      <w:r w:rsidR="00C072ED">
        <w:rPr>
          <w:rFonts w:ascii="Arial" w:hAnsi="Arial" w:cs="Arial"/>
        </w:rPr>
        <w:t xml:space="preserve">had </w:t>
      </w:r>
      <w:r w:rsidRPr="008D0295">
        <w:rPr>
          <w:rFonts w:ascii="Arial" w:hAnsi="Arial" w:cs="Arial"/>
        </w:rPr>
        <w:t xml:space="preserve">dropped </w:t>
      </w:r>
      <w:r w:rsidR="00C072ED">
        <w:rPr>
          <w:rFonts w:ascii="Arial" w:hAnsi="Arial" w:cs="Arial"/>
        </w:rPr>
        <w:t xml:space="preserve">since December 2022 </w:t>
      </w:r>
      <w:r w:rsidRPr="008D0295">
        <w:rPr>
          <w:rFonts w:ascii="Arial" w:hAnsi="Arial" w:cs="Arial"/>
        </w:rPr>
        <w:t>from 20 to 12, aligning with national trends.</w:t>
      </w:r>
    </w:p>
    <w:p w14:paraId="4EFB360A" w14:textId="77777777" w:rsidR="00590033" w:rsidRPr="008D0295" w:rsidRDefault="00590033" w:rsidP="007645CC">
      <w:pPr>
        <w:numPr>
          <w:ilvl w:val="0"/>
          <w:numId w:val="18"/>
        </w:numPr>
        <w:spacing w:line="240" w:lineRule="auto"/>
        <w:jc w:val="both"/>
        <w:rPr>
          <w:rFonts w:ascii="Arial" w:hAnsi="Arial" w:cs="Arial"/>
        </w:rPr>
      </w:pPr>
      <w:r w:rsidRPr="008D0295">
        <w:rPr>
          <w:rFonts w:ascii="Arial" w:hAnsi="Arial" w:cs="Arial"/>
          <w:b/>
          <w:bCs/>
        </w:rPr>
        <w:t>Funding Uncertainty</w:t>
      </w:r>
      <w:r w:rsidRPr="008D0295">
        <w:rPr>
          <w:rFonts w:ascii="Arial" w:hAnsi="Arial" w:cs="Arial"/>
        </w:rPr>
        <w:t>: NHS England initially indicated a funding reduction for 2024/25, creating concerns about financial sustainability.</w:t>
      </w:r>
    </w:p>
    <w:p w14:paraId="1654EE55" w14:textId="77777777" w:rsidR="00590033" w:rsidRPr="008D0295" w:rsidRDefault="00590033" w:rsidP="007645CC">
      <w:pPr>
        <w:numPr>
          <w:ilvl w:val="0"/>
          <w:numId w:val="18"/>
        </w:numPr>
        <w:spacing w:line="240" w:lineRule="auto"/>
        <w:jc w:val="both"/>
        <w:rPr>
          <w:rFonts w:ascii="Arial" w:hAnsi="Arial" w:cs="Arial"/>
        </w:rPr>
      </w:pPr>
      <w:r w:rsidRPr="008D0295">
        <w:rPr>
          <w:rFonts w:ascii="Arial" w:hAnsi="Arial" w:cs="Arial"/>
          <w:b/>
          <w:bCs/>
        </w:rPr>
        <w:t>Workforce Stability</w:t>
      </w:r>
      <w:r w:rsidRPr="008D0295">
        <w:rPr>
          <w:rFonts w:ascii="Arial" w:hAnsi="Arial" w:cs="Arial"/>
        </w:rPr>
        <w:t>: Concerns about staff retention due to uncertainty over the service’s future.</w:t>
      </w:r>
    </w:p>
    <w:p w14:paraId="5347FE68" w14:textId="77777777" w:rsidR="00590033" w:rsidRPr="008D0295" w:rsidRDefault="00590033" w:rsidP="007645CC">
      <w:pPr>
        <w:numPr>
          <w:ilvl w:val="0"/>
          <w:numId w:val="18"/>
        </w:numPr>
        <w:spacing w:line="240" w:lineRule="auto"/>
        <w:jc w:val="both"/>
        <w:rPr>
          <w:rFonts w:ascii="Arial" w:hAnsi="Arial" w:cs="Arial"/>
        </w:rPr>
      </w:pPr>
      <w:r w:rsidRPr="008D0295">
        <w:rPr>
          <w:rFonts w:ascii="Arial" w:hAnsi="Arial" w:cs="Arial"/>
          <w:b/>
          <w:bCs/>
        </w:rPr>
        <w:t>High Caseload</w:t>
      </w:r>
      <w:r w:rsidRPr="008D0295">
        <w:rPr>
          <w:rFonts w:ascii="Arial" w:hAnsi="Arial" w:cs="Arial"/>
        </w:rPr>
        <w:t>: 966 patients were on the rehabilitation caseload in October 2023, risking inefficiencies in future service delivery.</w:t>
      </w:r>
    </w:p>
    <w:p w14:paraId="1830C6EB" w14:textId="77777777" w:rsidR="00590033" w:rsidRPr="008D0295" w:rsidRDefault="00590033" w:rsidP="00590033">
      <w:pPr>
        <w:spacing w:line="240" w:lineRule="auto"/>
        <w:jc w:val="both"/>
        <w:rPr>
          <w:rFonts w:ascii="Arial" w:hAnsi="Arial" w:cs="Arial"/>
        </w:rPr>
      </w:pPr>
      <w:r w:rsidRPr="008D0295">
        <w:rPr>
          <w:rFonts w:ascii="Arial" w:hAnsi="Arial" w:cs="Arial"/>
        </w:rPr>
        <w:t xml:space="preserve">As part of the review an options appraisal was carried out and four potential service models were developed. </w:t>
      </w:r>
    </w:p>
    <w:p w14:paraId="03A3047B" w14:textId="0C90559B" w:rsidR="00590033" w:rsidRPr="008D0295" w:rsidRDefault="00590033" w:rsidP="00590033">
      <w:pPr>
        <w:spacing w:line="240" w:lineRule="auto"/>
        <w:jc w:val="both"/>
        <w:rPr>
          <w:rFonts w:ascii="Arial" w:hAnsi="Arial" w:cs="Arial"/>
        </w:rPr>
      </w:pPr>
      <w:r w:rsidRPr="008D0295">
        <w:rPr>
          <w:rFonts w:ascii="Arial" w:hAnsi="Arial" w:cs="Arial"/>
        </w:rPr>
        <w:t xml:space="preserve">The four options considered were: </w:t>
      </w:r>
    </w:p>
    <w:p w14:paraId="392AF038" w14:textId="77777777" w:rsidR="00590033" w:rsidRPr="008D0295" w:rsidRDefault="00590033" w:rsidP="007645CC">
      <w:pPr>
        <w:numPr>
          <w:ilvl w:val="1"/>
          <w:numId w:val="20"/>
        </w:numPr>
        <w:spacing w:line="240" w:lineRule="auto"/>
        <w:jc w:val="both"/>
        <w:rPr>
          <w:rFonts w:ascii="Arial" w:hAnsi="Arial" w:cs="Arial"/>
        </w:rPr>
      </w:pPr>
      <w:r w:rsidRPr="008D0295">
        <w:rPr>
          <w:rFonts w:ascii="Arial" w:hAnsi="Arial" w:cs="Arial"/>
        </w:rPr>
        <w:t>Decommission the service and signpost to online resources.</w:t>
      </w:r>
    </w:p>
    <w:p w14:paraId="3F4E68B7" w14:textId="1B481270" w:rsidR="00590033" w:rsidRPr="008D0295" w:rsidRDefault="00590033" w:rsidP="007645CC">
      <w:pPr>
        <w:numPr>
          <w:ilvl w:val="1"/>
          <w:numId w:val="20"/>
        </w:numPr>
        <w:spacing w:line="240" w:lineRule="auto"/>
        <w:jc w:val="both"/>
        <w:rPr>
          <w:rFonts w:ascii="Arial" w:hAnsi="Arial" w:cs="Arial"/>
        </w:rPr>
      </w:pPr>
      <w:r w:rsidRPr="008D0295">
        <w:rPr>
          <w:rFonts w:ascii="Arial" w:hAnsi="Arial" w:cs="Arial"/>
        </w:rPr>
        <w:t xml:space="preserve">Decommission and enhance existing services to absorb </w:t>
      </w:r>
      <w:r w:rsidR="00C072ED">
        <w:rPr>
          <w:rFonts w:ascii="Arial" w:hAnsi="Arial" w:cs="Arial"/>
        </w:rPr>
        <w:t>Post (</w:t>
      </w:r>
      <w:r w:rsidRPr="008D0295">
        <w:rPr>
          <w:rFonts w:ascii="Arial" w:hAnsi="Arial" w:cs="Arial"/>
        </w:rPr>
        <w:t>Long</w:t>
      </w:r>
      <w:r w:rsidR="00C072ED">
        <w:rPr>
          <w:rFonts w:ascii="Arial" w:hAnsi="Arial" w:cs="Arial"/>
        </w:rPr>
        <w:t>)</w:t>
      </w:r>
      <w:r w:rsidRPr="008D0295">
        <w:rPr>
          <w:rFonts w:ascii="Arial" w:hAnsi="Arial" w:cs="Arial"/>
        </w:rPr>
        <w:t xml:space="preserve"> COVID patients.</w:t>
      </w:r>
    </w:p>
    <w:p w14:paraId="3E13FC30" w14:textId="77777777" w:rsidR="00590033" w:rsidRPr="008D0295" w:rsidRDefault="00590033" w:rsidP="007645CC">
      <w:pPr>
        <w:numPr>
          <w:ilvl w:val="1"/>
          <w:numId w:val="20"/>
        </w:numPr>
        <w:spacing w:line="240" w:lineRule="auto"/>
        <w:jc w:val="both"/>
        <w:rPr>
          <w:rFonts w:ascii="Arial" w:hAnsi="Arial" w:cs="Arial"/>
        </w:rPr>
      </w:pPr>
      <w:r w:rsidRPr="008D0295">
        <w:rPr>
          <w:rFonts w:ascii="Arial" w:hAnsi="Arial" w:cs="Arial"/>
        </w:rPr>
        <w:t>Continue the current model with reduced resources.</w:t>
      </w:r>
    </w:p>
    <w:p w14:paraId="1FBE90C3" w14:textId="77777777" w:rsidR="00590033" w:rsidRPr="008D0295" w:rsidRDefault="00590033" w:rsidP="007645CC">
      <w:pPr>
        <w:numPr>
          <w:ilvl w:val="1"/>
          <w:numId w:val="20"/>
        </w:numPr>
        <w:spacing w:line="240" w:lineRule="auto"/>
        <w:jc w:val="both"/>
        <w:rPr>
          <w:rFonts w:ascii="Arial" w:hAnsi="Arial" w:cs="Arial"/>
        </w:rPr>
      </w:pPr>
      <w:r w:rsidRPr="008D0295">
        <w:rPr>
          <w:rFonts w:ascii="Arial" w:hAnsi="Arial" w:cs="Arial"/>
        </w:rPr>
        <w:t>Expand the service to include early rehabilitation for post-viral symptoms.</w:t>
      </w:r>
    </w:p>
    <w:p w14:paraId="7F0CD3DB" w14:textId="77777777" w:rsidR="00590033" w:rsidRPr="008D0295" w:rsidRDefault="00590033" w:rsidP="00590033">
      <w:pPr>
        <w:spacing w:line="240" w:lineRule="auto"/>
        <w:jc w:val="both"/>
        <w:rPr>
          <w:rFonts w:ascii="Arial" w:hAnsi="Arial" w:cs="Arial"/>
        </w:rPr>
      </w:pPr>
      <w:r w:rsidRPr="008D0295">
        <w:rPr>
          <w:rFonts w:ascii="Arial" w:hAnsi="Arial" w:cs="Arial"/>
        </w:rPr>
        <w:t>During this service review, extensive patient engagement was carried out, consisting of workshops and surveys, which showed considerable support for maintaining or expanding the service. (This is summarised within section 5.2).</w:t>
      </w:r>
    </w:p>
    <w:p w14:paraId="2E753D8E" w14:textId="26F5197F" w:rsidR="00590033" w:rsidRPr="008D0295" w:rsidRDefault="00590033" w:rsidP="00590033">
      <w:pPr>
        <w:tabs>
          <w:tab w:val="num" w:pos="720"/>
          <w:tab w:val="num" w:pos="1440"/>
        </w:tabs>
        <w:spacing w:line="240" w:lineRule="auto"/>
        <w:jc w:val="both"/>
        <w:rPr>
          <w:rFonts w:ascii="Arial" w:hAnsi="Arial" w:cs="Arial"/>
        </w:rPr>
      </w:pPr>
      <w:r w:rsidRPr="008D0295">
        <w:rPr>
          <w:rFonts w:ascii="Arial" w:hAnsi="Arial" w:cs="Arial"/>
        </w:rPr>
        <w:lastRenderedPageBreak/>
        <w:t>An evaluation panel was held in December 2023, which reviewed all options based on deliverability, clinical effectiveness, accessibility, affordability, workforce, and health inequalities.</w:t>
      </w:r>
      <w:r w:rsidR="008F323C" w:rsidRPr="008D0295">
        <w:rPr>
          <w:rFonts w:ascii="Arial" w:hAnsi="Arial" w:cs="Arial"/>
        </w:rPr>
        <w:t xml:space="preserve"> This panel consisted of clinicians, commissioners, providers, patients and finance representatives. The panel received information packs for all four options, consisting of case of change, </w:t>
      </w:r>
      <w:r w:rsidR="00F22F72" w:rsidRPr="008D0295">
        <w:rPr>
          <w:rFonts w:ascii="Arial" w:hAnsi="Arial" w:cs="Arial"/>
        </w:rPr>
        <w:t>pre-engagement</w:t>
      </w:r>
      <w:r w:rsidR="008F323C" w:rsidRPr="008D0295">
        <w:rPr>
          <w:rFonts w:ascii="Arial" w:hAnsi="Arial" w:cs="Arial"/>
        </w:rPr>
        <w:t xml:space="preserve"> report, Quality and Equality Impact Assessments, SWOT analysis, patient pathways, service costs and staffing models. </w:t>
      </w:r>
    </w:p>
    <w:p w14:paraId="62C73D29" w14:textId="77777777" w:rsidR="00590033" w:rsidRPr="008D0295" w:rsidRDefault="00590033" w:rsidP="007645CC">
      <w:pPr>
        <w:numPr>
          <w:ilvl w:val="1"/>
          <w:numId w:val="19"/>
        </w:numPr>
        <w:spacing w:line="240" w:lineRule="auto"/>
        <w:jc w:val="both"/>
        <w:rPr>
          <w:rFonts w:ascii="Arial" w:hAnsi="Arial" w:cs="Arial"/>
        </w:rPr>
      </w:pPr>
      <w:r w:rsidRPr="008D0295">
        <w:rPr>
          <w:rFonts w:ascii="Arial" w:hAnsi="Arial" w:cs="Arial"/>
        </w:rPr>
        <w:t>Option 4 was preferred by 69% of panel members for its holistic, equitable, and innovative approach.</w:t>
      </w:r>
    </w:p>
    <w:p w14:paraId="1082402A" w14:textId="77777777" w:rsidR="00590033" w:rsidRPr="008D0295" w:rsidRDefault="00590033" w:rsidP="007645CC">
      <w:pPr>
        <w:numPr>
          <w:ilvl w:val="1"/>
          <w:numId w:val="19"/>
        </w:numPr>
        <w:spacing w:line="240" w:lineRule="auto"/>
        <w:jc w:val="both"/>
        <w:rPr>
          <w:rFonts w:ascii="Arial" w:hAnsi="Arial" w:cs="Arial"/>
        </w:rPr>
      </w:pPr>
      <w:r w:rsidRPr="008D0295">
        <w:rPr>
          <w:rFonts w:ascii="Arial" w:hAnsi="Arial" w:cs="Arial"/>
        </w:rPr>
        <w:t>Option 3 was supported by 31% for being cost-effective and aligned with current demand.</w:t>
      </w:r>
    </w:p>
    <w:p w14:paraId="7CB7600C" w14:textId="3FF5056C" w:rsidR="00D23F11" w:rsidRPr="008D0295" w:rsidRDefault="00B66E79" w:rsidP="00B66E79">
      <w:pPr>
        <w:tabs>
          <w:tab w:val="num" w:pos="1440"/>
        </w:tabs>
        <w:spacing w:line="240" w:lineRule="auto"/>
        <w:jc w:val="both"/>
        <w:rPr>
          <w:rFonts w:ascii="Arial" w:hAnsi="Arial" w:cs="Arial"/>
        </w:rPr>
      </w:pPr>
      <w:r w:rsidRPr="008D0295">
        <w:rPr>
          <w:rFonts w:ascii="Arial" w:hAnsi="Arial" w:cs="Arial"/>
        </w:rPr>
        <w:t>Clinical and Professional Leadership Group (January 2024) s</w:t>
      </w:r>
      <w:r w:rsidR="00590033" w:rsidRPr="008D0295">
        <w:rPr>
          <w:rFonts w:ascii="Arial" w:hAnsi="Arial" w:cs="Arial"/>
        </w:rPr>
        <w:t xml:space="preserve">upported both Options 3 and </w:t>
      </w:r>
      <w:r w:rsidRPr="008D0295">
        <w:rPr>
          <w:rFonts w:ascii="Arial" w:hAnsi="Arial" w:cs="Arial"/>
        </w:rPr>
        <w:t>4 and re</w:t>
      </w:r>
      <w:r w:rsidR="00590033" w:rsidRPr="008D0295">
        <w:rPr>
          <w:rFonts w:ascii="Arial" w:hAnsi="Arial" w:cs="Arial"/>
        </w:rPr>
        <w:t>jected Options 1 and 2 as clinically ineffective.</w:t>
      </w:r>
    </w:p>
    <w:p w14:paraId="047B46A9" w14:textId="34A05C87" w:rsidR="00590033" w:rsidRPr="008D0295" w:rsidRDefault="00D23F11" w:rsidP="00B66E79">
      <w:pPr>
        <w:tabs>
          <w:tab w:val="num" w:pos="720"/>
        </w:tabs>
        <w:spacing w:line="240" w:lineRule="auto"/>
        <w:jc w:val="both"/>
        <w:rPr>
          <w:rFonts w:ascii="Arial" w:hAnsi="Arial" w:cs="Arial"/>
        </w:rPr>
      </w:pPr>
      <w:r w:rsidRPr="007B09A1">
        <w:rPr>
          <w:rFonts w:ascii="Arial" w:hAnsi="Arial" w:cs="Arial"/>
        </w:rPr>
        <w:t>The recommendation to approve option 3 was agreed through ICB governance processes during February and March 2024, meaning that th</w:t>
      </w:r>
      <w:r w:rsidR="00590033" w:rsidRPr="007B09A1">
        <w:rPr>
          <w:rFonts w:ascii="Arial" w:hAnsi="Arial" w:cs="Arial"/>
        </w:rPr>
        <w:t xml:space="preserve">e </w:t>
      </w:r>
      <w:r>
        <w:rPr>
          <w:rFonts w:ascii="Arial" w:hAnsi="Arial" w:cs="Arial"/>
        </w:rPr>
        <w:t>Post (Long)</w:t>
      </w:r>
      <w:r w:rsidR="00F22F72" w:rsidRPr="008D0295">
        <w:rPr>
          <w:rFonts w:ascii="Arial" w:hAnsi="Arial" w:cs="Arial"/>
        </w:rPr>
        <w:t xml:space="preserve"> </w:t>
      </w:r>
      <w:r w:rsidR="00590033" w:rsidRPr="008D0295">
        <w:rPr>
          <w:rFonts w:ascii="Arial" w:hAnsi="Arial" w:cs="Arial"/>
        </w:rPr>
        <w:t xml:space="preserve">COVID service </w:t>
      </w:r>
      <w:r w:rsidR="00766D49" w:rsidRPr="008D0295">
        <w:rPr>
          <w:rFonts w:ascii="Arial" w:hAnsi="Arial" w:cs="Arial"/>
        </w:rPr>
        <w:t xml:space="preserve">was to </w:t>
      </w:r>
      <w:r w:rsidR="00590033" w:rsidRPr="008D0295">
        <w:rPr>
          <w:rFonts w:ascii="Arial" w:hAnsi="Arial" w:cs="Arial"/>
        </w:rPr>
        <w:t>continue in 2024/25 with reduced staffing and funding, aligned to current demand.</w:t>
      </w:r>
    </w:p>
    <w:p w14:paraId="08527EC4" w14:textId="5E5A41E8" w:rsidR="00590033" w:rsidRPr="008D0295" w:rsidRDefault="00590033" w:rsidP="00B66E79">
      <w:pPr>
        <w:spacing w:line="240" w:lineRule="auto"/>
        <w:jc w:val="both"/>
        <w:rPr>
          <w:rFonts w:ascii="Arial" w:hAnsi="Arial" w:cs="Arial"/>
        </w:rPr>
      </w:pPr>
      <w:r w:rsidRPr="008D0295">
        <w:rPr>
          <w:rFonts w:ascii="Arial" w:hAnsi="Arial" w:cs="Arial"/>
        </w:rPr>
        <w:t>The decision was communicated to stakeholders and published on the Joined-Up Care Derbyshire platform.</w:t>
      </w:r>
      <w:r w:rsidR="00B66E79" w:rsidRPr="008D0295">
        <w:rPr>
          <w:rFonts w:ascii="Arial" w:hAnsi="Arial" w:cs="Arial"/>
        </w:rPr>
        <w:t xml:space="preserve"> </w:t>
      </w:r>
    </w:p>
    <w:p w14:paraId="19725897" w14:textId="77777777" w:rsidR="008D0295" w:rsidRDefault="008D0295" w:rsidP="008D0295">
      <w:pPr>
        <w:pStyle w:val="Heading2"/>
      </w:pPr>
    </w:p>
    <w:p w14:paraId="2B5132AF" w14:textId="177BF99C" w:rsidR="00F939A4" w:rsidRDefault="00F939A4" w:rsidP="008D0295">
      <w:pPr>
        <w:pStyle w:val="Heading2"/>
      </w:pPr>
      <w:bookmarkStart w:id="8" w:name="_Toc211436399"/>
      <w:r w:rsidRPr="008D0295">
        <w:t>2.</w:t>
      </w:r>
      <w:r w:rsidR="00391BDC" w:rsidRPr="008D0295">
        <w:t>5</w:t>
      </w:r>
      <w:r w:rsidRPr="008D0295">
        <w:t xml:space="preserve"> </w:t>
      </w:r>
      <w:r w:rsidR="005F4CB7">
        <w:t>2024/25</w:t>
      </w:r>
      <w:r w:rsidRPr="008D0295">
        <w:t xml:space="preserve"> service model</w:t>
      </w:r>
      <w:bookmarkEnd w:id="8"/>
    </w:p>
    <w:p w14:paraId="465C4590" w14:textId="77777777" w:rsidR="008D0295" w:rsidRPr="008D0295" w:rsidRDefault="008D0295" w:rsidP="008D0295"/>
    <w:p w14:paraId="7D1F02F4" w14:textId="5F5274C1" w:rsidR="00F939A4" w:rsidRPr="008D0295" w:rsidRDefault="00C71DE2" w:rsidP="00F4449E">
      <w:pPr>
        <w:spacing w:line="240" w:lineRule="auto"/>
        <w:jc w:val="both"/>
        <w:rPr>
          <w:rFonts w:ascii="Arial" w:hAnsi="Arial" w:cs="Arial"/>
        </w:rPr>
      </w:pPr>
      <w:r w:rsidRPr="008D0295">
        <w:rPr>
          <w:rFonts w:ascii="Arial" w:hAnsi="Arial" w:cs="Arial"/>
        </w:rPr>
        <w:t>Following extensive</w:t>
      </w:r>
      <w:r w:rsidR="004A506F">
        <w:rPr>
          <w:rFonts w:ascii="Arial" w:hAnsi="Arial" w:cs="Arial"/>
        </w:rPr>
        <w:t xml:space="preserve"> engagement</w:t>
      </w:r>
      <w:r w:rsidRPr="008D0295">
        <w:rPr>
          <w:rFonts w:ascii="Arial" w:hAnsi="Arial" w:cs="Arial"/>
        </w:rPr>
        <w:t xml:space="preserve"> and options appraisals in 2023, the service moved to</w:t>
      </w:r>
      <w:r w:rsidR="002160B3" w:rsidRPr="008D0295">
        <w:rPr>
          <w:rFonts w:ascii="Arial" w:hAnsi="Arial" w:cs="Arial"/>
        </w:rPr>
        <w:t xml:space="preserve"> a sole provider model</w:t>
      </w:r>
      <w:r w:rsidR="0023035C" w:rsidRPr="008D0295">
        <w:rPr>
          <w:rFonts w:ascii="Arial" w:hAnsi="Arial" w:cs="Arial"/>
        </w:rPr>
        <w:t xml:space="preserve"> from April 2024</w:t>
      </w:r>
      <w:r w:rsidR="002160B3" w:rsidRPr="008D0295">
        <w:rPr>
          <w:rFonts w:ascii="Arial" w:hAnsi="Arial" w:cs="Arial"/>
        </w:rPr>
        <w:t xml:space="preserve">, delivered by DCHS. </w:t>
      </w:r>
      <w:r w:rsidR="00CF5B4E" w:rsidRPr="008D0295">
        <w:rPr>
          <w:rFonts w:ascii="Arial" w:hAnsi="Arial" w:cs="Arial"/>
        </w:rPr>
        <w:t xml:space="preserve"> The service merges assessment and rehabilitation into a single, streamlined pathway. </w:t>
      </w:r>
    </w:p>
    <w:p w14:paraId="40785875" w14:textId="1E4EAA03" w:rsidR="00C71DE2" w:rsidRPr="008D0295" w:rsidRDefault="00CF5B4E" w:rsidP="00F4449E">
      <w:pPr>
        <w:spacing w:line="240" w:lineRule="auto"/>
        <w:jc w:val="both"/>
        <w:rPr>
          <w:rFonts w:ascii="Arial" w:hAnsi="Arial" w:cs="Arial"/>
        </w:rPr>
      </w:pPr>
      <w:r w:rsidRPr="008D0295">
        <w:rPr>
          <w:rFonts w:ascii="Arial" w:hAnsi="Arial" w:cs="Arial"/>
        </w:rPr>
        <w:t>Initial assessment confirms diagnosis, identifies medical need and sets rehabilitation goals. A tiered rehabilitation approach is taken, structuring the service into three tiers, based on patient complexity and need</w:t>
      </w:r>
      <w:r w:rsidR="00DB3DAB" w:rsidRPr="008D0295">
        <w:rPr>
          <w:rFonts w:ascii="Arial" w:hAnsi="Arial" w:cs="Arial"/>
        </w:rPr>
        <w:t>:</w:t>
      </w:r>
    </w:p>
    <w:tbl>
      <w:tblPr>
        <w:tblStyle w:val="TableGrid"/>
        <w:tblW w:w="0" w:type="auto"/>
        <w:tblLook w:val="04A0" w:firstRow="1" w:lastRow="0" w:firstColumn="1" w:lastColumn="0" w:noHBand="0" w:noVBand="1"/>
      </w:tblPr>
      <w:tblGrid>
        <w:gridCol w:w="1413"/>
        <w:gridCol w:w="7603"/>
      </w:tblGrid>
      <w:tr w:rsidR="00DB3DAB" w:rsidRPr="008D0295" w14:paraId="4CF8E853" w14:textId="77777777" w:rsidTr="00EF7488">
        <w:tc>
          <w:tcPr>
            <w:tcW w:w="1413" w:type="dxa"/>
          </w:tcPr>
          <w:p w14:paraId="73D74DCC" w14:textId="77777777" w:rsidR="00DB3DAB" w:rsidRPr="008D0295" w:rsidRDefault="00DB3DAB" w:rsidP="00EF7488">
            <w:pPr>
              <w:rPr>
                <w:rFonts w:ascii="Arial" w:hAnsi="Arial" w:cs="Arial"/>
              </w:rPr>
            </w:pPr>
            <w:bookmarkStart w:id="9" w:name="_Hlk149135552"/>
            <w:r w:rsidRPr="008D0295">
              <w:rPr>
                <w:rFonts w:ascii="Arial" w:hAnsi="Arial" w:cs="Arial"/>
                <w:b/>
                <w:bCs/>
              </w:rPr>
              <w:t>Tier 1</w:t>
            </w:r>
          </w:p>
        </w:tc>
        <w:tc>
          <w:tcPr>
            <w:tcW w:w="7603" w:type="dxa"/>
          </w:tcPr>
          <w:p w14:paraId="25D08E89" w14:textId="77777777" w:rsidR="00DB3DAB" w:rsidRPr="008D0295" w:rsidRDefault="00DB3DAB" w:rsidP="00EF7488">
            <w:pPr>
              <w:rPr>
                <w:rFonts w:ascii="Arial" w:hAnsi="Arial" w:cs="Arial"/>
              </w:rPr>
            </w:pPr>
            <w:r w:rsidRPr="008D0295">
              <w:rPr>
                <w:rFonts w:ascii="Arial" w:hAnsi="Arial" w:cs="Arial"/>
              </w:rPr>
              <w:t xml:space="preserve">Patients will have access from the Multi-Disciplinary Team (MDT) to virtual education programmes in the first instance and will include a watch at home video for family and carers. </w:t>
            </w:r>
          </w:p>
        </w:tc>
      </w:tr>
      <w:bookmarkEnd w:id="9"/>
      <w:tr w:rsidR="00DB3DAB" w:rsidRPr="008D0295" w14:paraId="1D400849" w14:textId="77777777" w:rsidTr="00EF7488">
        <w:tc>
          <w:tcPr>
            <w:tcW w:w="1413" w:type="dxa"/>
          </w:tcPr>
          <w:p w14:paraId="03F587BB" w14:textId="77777777" w:rsidR="00DB3DAB" w:rsidRPr="008D0295" w:rsidRDefault="00DB3DAB" w:rsidP="00EF7488">
            <w:pPr>
              <w:rPr>
                <w:rFonts w:ascii="Arial" w:hAnsi="Arial" w:cs="Arial"/>
              </w:rPr>
            </w:pPr>
            <w:r w:rsidRPr="008D0295">
              <w:rPr>
                <w:rFonts w:ascii="Arial" w:hAnsi="Arial" w:cs="Arial"/>
                <w:b/>
                <w:bCs/>
              </w:rPr>
              <w:t>Tier 2</w:t>
            </w:r>
          </w:p>
        </w:tc>
        <w:tc>
          <w:tcPr>
            <w:tcW w:w="7603" w:type="dxa"/>
          </w:tcPr>
          <w:p w14:paraId="7D64C0A9" w14:textId="77777777" w:rsidR="00DB3DAB" w:rsidRPr="008D0295" w:rsidRDefault="00DB3DAB" w:rsidP="00EF7488">
            <w:pPr>
              <w:rPr>
                <w:rFonts w:ascii="Arial" w:hAnsi="Arial" w:cs="Arial"/>
              </w:rPr>
            </w:pPr>
            <w:r w:rsidRPr="008D0295">
              <w:rPr>
                <w:rFonts w:ascii="Arial" w:hAnsi="Arial" w:cs="Arial"/>
              </w:rPr>
              <w:t>Will offer group and/or individual sessions which may be virtual or face-to-face, for the patient who has not met all their needs in the virtual group work and require additional input for their rehabilitation.</w:t>
            </w:r>
          </w:p>
        </w:tc>
      </w:tr>
      <w:tr w:rsidR="00DB3DAB" w:rsidRPr="008D0295" w14:paraId="58D4D6F8" w14:textId="77777777" w:rsidTr="00EF7488">
        <w:tc>
          <w:tcPr>
            <w:tcW w:w="1413" w:type="dxa"/>
          </w:tcPr>
          <w:p w14:paraId="3C8A99C8" w14:textId="77777777" w:rsidR="00DB3DAB" w:rsidRPr="008D0295" w:rsidRDefault="00DB3DAB" w:rsidP="00EF7488">
            <w:pPr>
              <w:rPr>
                <w:rFonts w:ascii="Arial" w:hAnsi="Arial" w:cs="Arial"/>
                <w:b/>
                <w:bCs/>
              </w:rPr>
            </w:pPr>
            <w:r w:rsidRPr="008D0295">
              <w:rPr>
                <w:rFonts w:ascii="Arial" w:hAnsi="Arial" w:cs="Arial"/>
                <w:b/>
                <w:bCs/>
              </w:rPr>
              <w:t>Tier 3</w:t>
            </w:r>
          </w:p>
        </w:tc>
        <w:tc>
          <w:tcPr>
            <w:tcW w:w="7603" w:type="dxa"/>
          </w:tcPr>
          <w:p w14:paraId="2C3A6F84" w14:textId="77777777" w:rsidR="00DB3DAB" w:rsidRPr="008D0295" w:rsidRDefault="00DB3DAB" w:rsidP="00EF7488">
            <w:pPr>
              <w:rPr>
                <w:rFonts w:ascii="Arial" w:hAnsi="Arial" w:cs="Arial"/>
              </w:rPr>
            </w:pPr>
            <w:r w:rsidRPr="008D0295">
              <w:rPr>
                <w:rFonts w:ascii="Arial" w:hAnsi="Arial" w:cs="Arial"/>
              </w:rPr>
              <w:t xml:space="preserve">This will be individualised sessions for the more complex patients who present within the Post (Long) Covid Service and require more in-depth work to help them rehabilitate to the best they possibly can, this will be offered virtual or face-to-face. </w:t>
            </w:r>
          </w:p>
        </w:tc>
      </w:tr>
    </w:tbl>
    <w:p w14:paraId="0A3574A7" w14:textId="77777777" w:rsidR="00DB3DAB" w:rsidRPr="008D0295" w:rsidRDefault="00DB3DAB" w:rsidP="00F4449E">
      <w:pPr>
        <w:spacing w:line="240" w:lineRule="auto"/>
        <w:jc w:val="both"/>
        <w:rPr>
          <w:rFonts w:ascii="Arial" w:hAnsi="Arial" w:cs="Arial"/>
        </w:rPr>
      </w:pPr>
    </w:p>
    <w:p w14:paraId="54C6DF9A" w14:textId="5B0CF7A8" w:rsidR="00F22F72" w:rsidRPr="008D0295" w:rsidRDefault="00F22F72">
      <w:pPr>
        <w:rPr>
          <w:rFonts w:ascii="Arial" w:hAnsi="Arial" w:cs="Arial"/>
        </w:rPr>
      </w:pPr>
      <w:r w:rsidRPr="008D0295">
        <w:rPr>
          <w:rFonts w:ascii="Arial" w:hAnsi="Arial" w:cs="Arial"/>
        </w:rPr>
        <w:br w:type="page"/>
      </w:r>
    </w:p>
    <w:p w14:paraId="1B85DF3F" w14:textId="77777777" w:rsidR="00DB3DAB" w:rsidRPr="008D0295" w:rsidRDefault="00DB3DAB" w:rsidP="00F4449E">
      <w:pPr>
        <w:spacing w:line="240" w:lineRule="auto"/>
        <w:jc w:val="both"/>
        <w:rPr>
          <w:rFonts w:ascii="Arial" w:hAnsi="Arial" w:cs="Arial"/>
        </w:rPr>
      </w:pPr>
    </w:p>
    <w:p w14:paraId="56E81384" w14:textId="41F50880" w:rsidR="00DC7B8F" w:rsidRPr="008D0295" w:rsidRDefault="00446EBA" w:rsidP="00F4449E">
      <w:pPr>
        <w:spacing w:line="240" w:lineRule="auto"/>
        <w:jc w:val="both"/>
        <w:rPr>
          <w:rFonts w:ascii="Arial" w:hAnsi="Arial" w:cs="Arial"/>
        </w:rPr>
      </w:pPr>
      <w:r w:rsidRPr="008D0295">
        <w:rPr>
          <w:rFonts w:ascii="Arial" w:hAnsi="Arial" w:cs="Arial"/>
          <w:noProof/>
        </w:rPr>
        <w:drawing>
          <wp:anchor distT="0" distB="0" distL="114300" distR="114300" simplePos="0" relativeHeight="251664384" behindDoc="0" locked="0" layoutInCell="1" allowOverlap="1" wp14:anchorId="373F25A8" wp14:editId="3E872BBB">
            <wp:simplePos x="0" y="0"/>
            <wp:positionH relativeFrom="column">
              <wp:posOffset>781050</wp:posOffset>
            </wp:positionH>
            <wp:positionV relativeFrom="paragraph">
              <wp:posOffset>228600</wp:posOffset>
            </wp:positionV>
            <wp:extent cx="7124700" cy="5270500"/>
            <wp:effectExtent l="0" t="0" r="0" b="6350"/>
            <wp:wrapSquare wrapText="bothSides"/>
            <wp:docPr id="806234676" name="Picture 806234676" descr="A diagram of a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34676" name="Picture 806234676" descr="A diagram of a servic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124700" cy="5270500"/>
                    </a:xfrm>
                    <a:prstGeom prst="rect">
                      <a:avLst/>
                    </a:prstGeom>
                  </pic:spPr>
                </pic:pic>
              </a:graphicData>
            </a:graphic>
            <wp14:sizeRelH relativeFrom="page">
              <wp14:pctWidth>0</wp14:pctWidth>
            </wp14:sizeRelH>
            <wp14:sizeRelV relativeFrom="page">
              <wp14:pctHeight>0</wp14:pctHeight>
            </wp14:sizeRelV>
          </wp:anchor>
        </w:drawing>
      </w:r>
    </w:p>
    <w:p w14:paraId="026110A5" w14:textId="77777777" w:rsidR="00BE3AA0" w:rsidRPr="008D0295" w:rsidRDefault="00BE3AA0" w:rsidP="00F4449E">
      <w:pPr>
        <w:autoSpaceDE w:val="0"/>
        <w:autoSpaceDN w:val="0"/>
        <w:adjustRightInd w:val="0"/>
        <w:spacing w:after="0" w:line="240" w:lineRule="auto"/>
        <w:jc w:val="both"/>
        <w:rPr>
          <w:rFonts w:ascii="Arial" w:hAnsi="Arial" w:cs="Arial"/>
          <w:bCs/>
        </w:rPr>
      </w:pPr>
    </w:p>
    <w:p w14:paraId="30000018" w14:textId="77777777" w:rsidR="00143A13" w:rsidRPr="008D0295" w:rsidRDefault="00143A13" w:rsidP="00F4449E">
      <w:pPr>
        <w:spacing w:line="240" w:lineRule="auto"/>
        <w:jc w:val="both"/>
        <w:rPr>
          <w:rFonts w:ascii="Arial" w:hAnsi="Arial" w:cs="Arial"/>
        </w:rPr>
      </w:pPr>
    </w:p>
    <w:p w14:paraId="4EED1CBD" w14:textId="77777777" w:rsidR="00AD7893" w:rsidRPr="008D0295" w:rsidRDefault="00AD7893" w:rsidP="00F4449E">
      <w:pPr>
        <w:spacing w:line="240" w:lineRule="auto"/>
        <w:jc w:val="both"/>
        <w:rPr>
          <w:rFonts w:ascii="Arial" w:hAnsi="Arial" w:cs="Arial"/>
        </w:rPr>
        <w:sectPr w:rsidR="00AD7893" w:rsidRPr="008D0295" w:rsidSect="00B93925">
          <w:headerReference w:type="default" r:id="rId10"/>
          <w:footerReference w:type="default" r:id="rId11"/>
          <w:pgSz w:w="11906" w:h="16838"/>
          <w:pgMar w:top="1440" w:right="1440" w:bottom="1440" w:left="1440" w:header="708" w:footer="708" w:gutter="0"/>
          <w:cols w:space="708"/>
          <w:docGrid w:linePitch="360"/>
        </w:sectPr>
      </w:pPr>
    </w:p>
    <w:p w14:paraId="6F888101" w14:textId="38ED6E4A" w:rsidR="006B6797" w:rsidRPr="008D0295" w:rsidRDefault="009E46B1" w:rsidP="008D0295">
      <w:pPr>
        <w:pStyle w:val="Heading2"/>
      </w:pPr>
      <w:bookmarkStart w:id="10" w:name="_Toc211436400"/>
      <w:bookmarkStart w:id="11" w:name="_Hlk141192954"/>
      <w:r w:rsidRPr="008D0295">
        <w:lastRenderedPageBreak/>
        <w:t>2.</w:t>
      </w:r>
      <w:r w:rsidR="00B93925" w:rsidRPr="008D0295">
        <w:t>6</w:t>
      </w:r>
      <w:r w:rsidRPr="008D0295">
        <w:t xml:space="preserve"> </w:t>
      </w:r>
      <w:r w:rsidR="00195233" w:rsidRPr="008D0295">
        <w:t>Children and Young People</w:t>
      </w:r>
      <w:r w:rsidR="0085324C" w:rsidRPr="008D0295">
        <w:t xml:space="preserve"> (CYP)</w:t>
      </w:r>
      <w:bookmarkEnd w:id="10"/>
    </w:p>
    <w:p w14:paraId="3CDE1C69" w14:textId="77777777" w:rsidR="000E06F4" w:rsidRPr="008D0295" w:rsidRDefault="000E06F4" w:rsidP="000E06F4">
      <w:pPr>
        <w:spacing w:line="240" w:lineRule="auto"/>
        <w:jc w:val="both"/>
        <w:rPr>
          <w:rFonts w:ascii="Arial" w:hAnsi="Arial" w:cs="Arial"/>
          <w:b/>
          <w:bCs/>
        </w:rPr>
      </w:pPr>
    </w:p>
    <w:p w14:paraId="2EB84FEB" w14:textId="4C8246AC" w:rsidR="000E06F4" w:rsidRPr="008D0295" w:rsidRDefault="000E06F4" w:rsidP="000E06F4">
      <w:pPr>
        <w:spacing w:line="240" w:lineRule="auto"/>
        <w:jc w:val="both"/>
        <w:rPr>
          <w:rFonts w:ascii="Arial" w:hAnsi="Arial" w:cs="Arial"/>
          <w:b/>
          <w:bCs/>
        </w:rPr>
      </w:pPr>
      <w:r w:rsidRPr="008D0295">
        <w:rPr>
          <w:rFonts w:ascii="Arial" w:hAnsi="Arial" w:cs="Arial"/>
          <w:b/>
          <w:bCs/>
        </w:rPr>
        <w:t xml:space="preserve">East Midlands Post (Long) COVID Regional Referral Pathway for Children &amp; Young People </w:t>
      </w:r>
    </w:p>
    <w:p w14:paraId="2CB1E063" w14:textId="53C866EE" w:rsidR="00195233" w:rsidRPr="008D0295" w:rsidRDefault="000E06F4" w:rsidP="00F4449E">
      <w:pPr>
        <w:spacing w:line="240" w:lineRule="auto"/>
        <w:jc w:val="both"/>
        <w:rPr>
          <w:rFonts w:ascii="Arial" w:hAnsi="Arial" w:cs="Arial"/>
        </w:rPr>
      </w:pPr>
      <w:r w:rsidRPr="008D0295">
        <w:rPr>
          <w:rFonts w:ascii="Arial" w:hAnsi="Arial" w:cs="Arial"/>
        </w:rPr>
        <w:t>All referrals for Post (Long) C</w:t>
      </w:r>
      <w:r w:rsidR="008000E4" w:rsidRPr="008D0295">
        <w:rPr>
          <w:rFonts w:ascii="Arial" w:hAnsi="Arial" w:cs="Arial"/>
        </w:rPr>
        <w:t>OVID</w:t>
      </w:r>
      <w:r w:rsidRPr="008D0295">
        <w:rPr>
          <w:rFonts w:ascii="Arial" w:hAnsi="Arial" w:cs="Arial"/>
        </w:rPr>
        <w:t xml:space="preserve"> Service across Derby and Derbyshire come through the Assessment Service and if required on onward referred to the Paediatric Team.  The Post (Long) C</w:t>
      </w:r>
      <w:r w:rsidR="008000E4" w:rsidRPr="008D0295">
        <w:rPr>
          <w:rFonts w:ascii="Arial" w:hAnsi="Arial" w:cs="Arial"/>
        </w:rPr>
        <w:t>OVID</w:t>
      </w:r>
      <w:r w:rsidRPr="008D0295">
        <w:rPr>
          <w:rFonts w:ascii="Arial" w:hAnsi="Arial" w:cs="Arial"/>
        </w:rPr>
        <w:t xml:space="preserve"> Service is a single point of access in the County. </w:t>
      </w:r>
      <w:r w:rsidR="008000E4" w:rsidRPr="008D0295">
        <w:rPr>
          <w:rFonts w:ascii="Arial" w:hAnsi="Arial" w:cs="Arial"/>
        </w:rPr>
        <w:t xml:space="preserve">Between June 2024 and June 2025 there were eight referrals to the Post (Long) COVID service for under 18s. </w:t>
      </w:r>
    </w:p>
    <w:p w14:paraId="7326CA71" w14:textId="77777777" w:rsidR="008000E4" w:rsidRPr="008D0295" w:rsidRDefault="008000E4" w:rsidP="00F4449E">
      <w:pPr>
        <w:spacing w:line="240" w:lineRule="auto"/>
        <w:jc w:val="both"/>
        <w:rPr>
          <w:rFonts w:ascii="Arial" w:hAnsi="Arial" w:cs="Arial"/>
        </w:rPr>
      </w:pPr>
    </w:p>
    <w:p w14:paraId="11526643" w14:textId="6231CF1A" w:rsidR="00143A13" w:rsidRPr="008D0295" w:rsidRDefault="0051036D" w:rsidP="00F4449E">
      <w:pPr>
        <w:spacing w:after="0" w:line="240" w:lineRule="auto"/>
        <w:jc w:val="both"/>
        <w:rPr>
          <w:rFonts w:ascii="Arial" w:hAnsi="Arial" w:cs="Arial"/>
        </w:rPr>
      </w:pPr>
      <w:r w:rsidRPr="008D0295">
        <w:rPr>
          <w:rFonts w:ascii="Arial" w:hAnsi="Arial" w:cs="Arial"/>
          <w:noProof/>
        </w:rPr>
        <w:drawing>
          <wp:inline distT="0" distB="0" distL="0" distR="0" wp14:anchorId="049BF8C2" wp14:editId="3E611345">
            <wp:extent cx="5054785" cy="4667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62089" cy="4766327"/>
                    </a:xfrm>
                    <a:prstGeom prst="rect">
                      <a:avLst/>
                    </a:prstGeom>
                  </pic:spPr>
                </pic:pic>
              </a:graphicData>
            </a:graphic>
          </wp:inline>
        </w:drawing>
      </w:r>
    </w:p>
    <w:p w14:paraId="5B63D67C" w14:textId="0A46EE7F" w:rsidR="000E06F4" w:rsidRPr="008D0295" w:rsidRDefault="000E06F4" w:rsidP="00F4449E">
      <w:pPr>
        <w:spacing w:line="240" w:lineRule="auto"/>
        <w:jc w:val="both"/>
        <w:rPr>
          <w:rFonts w:ascii="Arial" w:hAnsi="Arial" w:cs="Arial"/>
          <w:b/>
          <w:bCs/>
        </w:rPr>
      </w:pPr>
    </w:p>
    <w:p w14:paraId="01C1C4D6" w14:textId="43A64F36" w:rsidR="009023D0" w:rsidRPr="008D0295" w:rsidRDefault="000E06F4" w:rsidP="000E06F4">
      <w:pPr>
        <w:spacing w:line="240" w:lineRule="auto"/>
        <w:jc w:val="both"/>
        <w:rPr>
          <w:rFonts w:ascii="Arial" w:hAnsi="Arial" w:cs="Arial"/>
        </w:rPr>
      </w:pPr>
      <w:r w:rsidRPr="008D0295">
        <w:rPr>
          <w:rFonts w:ascii="Arial" w:hAnsi="Arial" w:cs="Arial"/>
        </w:rPr>
        <w:t>Prior to 31</w:t>
      </w:r>
      <w:r w:rsidRPr="008D0295">
        <w:rPr>
          <w:rFonts w:ascii="Arial" w:hAnsi="Arial" w:cs="Arial"/>
          <w:vertAlign w:val="superscript"/>
        </w:rPr>
        <w:t>st</w:t>
      </w:r>
      <w:r w:rsidRPr="008D0295">
        <w:rPr>
          <w:rFonts w:ascii="Arial" w:hAnsi="Arial" w:cs="Arial"/>
        </w:rPr>
        <w:t xml:space="preserve"> March 2025 there were specialist hubs across England to coordinate specialist assessment services or remote support to local paediatricians and Post (Long) COVID clinics. </w:t>
      </w:r>
    </w:p>
    <w:p w14:paraId="2B9E36AB" w14:textId="7017C041" w:rsidR="008A696D" w:rsidRPr="004A506F" w:rsidRDefault="000E06F4" w:rsidP="000E06F4">
      <w:pPr>
        <w:spacing w:line="240" w:lineRule="auto"/>
        <w:jc w:val="both"/>
        <w:rPr>
          <w:rFonts w:ascii="Arial" w:hAnsi="Arial" w:cs="Arial"/>
        </w:rPr>
      </w:pPr>
      <w:r w:rsidRPr="008D0295">
        <w:rPr>
          <w:rFonts w:ascii="Arial" w:hAnsi="Arial" w:cs="Arial"/>
        </w:rPr>
        <w:t>Within Derby and Derbyshire there was access to a Children and Young Persons hub virtual MDT for local paediatricians within Derby and Derbyshire, who required additional support regarding patients who were believed to have Post (Long) COVID syndrome. This contract ended on 31</w:t>
      </w:r>
      <w:r w:rsidRPr="008D0295">
        <w:rPr>
          <w:rFonts w:ascii="Arial" w:hAnsi="Arial" w:cs="Arial"/>
          <w:vertAlign w:val="superscript"/>
        </w:rPr>
        <w:t>st</w:t>
      </w:r>
      <w:r w:rsidRPr="008D0295">
        <w:rPr>
          <w:rFonts w:ascii="Arial" w:hAnsi="Arial" w:cs="Arial"/>
        </w:rPr>
        <w:t xml:space="preserve"> March 2025, with ICBs now being responsible for commissioning adult and children's services. </w:t>
      </w:r>
      <w:r w:rsidR="004A506F">
        <w:rPr>
          <w:rFonts w:ascii="Arial" w:hAnsi="Arial" w:cs="Arial"/>
        </w:rPr>
        <w:t xml:space="preserve">Currently DCHS sub-contract to University Hospitals of Derby and Burton (UHDB) to provide this service. </w:t>
      </w:r>
      <w:r w:rsidR="004A506F" w:rsidRPr="004A506F">
        <w:rPr>
          <w:rFonts w:ascii="Arial" w:hAnsi="Arial" w:cs="Arial"/>
          <w:color w:val="000000"/>
        </w:rPr>
        <w:t>As part of this review, the current arrangement will be evaluated, and, if deemed appropriate, a more formal agreement will be implemented to ensure that children and young people affected by Post (Long) COVID continue to receive these services.</w:t>
      </w:r>
    </w:p>
    <w:p w14:paraId="30D6DDDB" w14:textId="0FBA31C5" w:rsidR="004C799C" w:rsidRDefault="00195233" w:rsidP="008D0295">
      <w:pPr>
        <w:pStyle w:val="Heading2"/>
      </w:pPr>
      <w:bookmarkStart w:id="12" w:name="_Toc211436401"/>
      <w:bookmarkEnd w:id="11"/>
      <w:r w:rsidRPr="008D0295">
        <w:lastRenderedPageBreak/>
        <w:t>2.</w:t>
      </w:r>
      <w:r w:rsidR="00B93925" w:rsidRPr="008D0295">
        <w:t>7</w:t>
      </w:r>
      <w:r w:rsidRPr="008D0295">
        <w:t xml:space="preserve"> </w:t>
      </w:r>
      <w:r w:rsidR="00892439" w:rsidRPr="008D0295">
        <w:t>P</w:t>
      </w:r>
      <w:r w:rsidR="007E073A" w:rsidRPr="008D0295">
        <w:t>roviders</w:t>
      </w:r>
      <w:r w:rsidRPr="008D0295">
        <w:t xml:space="preserve"> </w:t>
      </w:r>
      <w:r w:rsidR="007E073A" w:rsidRPr="008D0295">
        <w:t>of the service</w:t>
      </w:r>
      <w:bookmarkEnd w:id="12"/>
      <w:r w:rsidR="007E073A" w:rsidRPr="008D0295">
        <w:t xml:space="preserve"> </w:t>
      </w:r>
    </w:p>
    <w:p w14:paraId="5E06CB4B" w14:textId="77777777" w:rsidR="008D0295" w:rsidRPr="008D0295" w:rsidRDefault="008D0295" w:rsidP="008D0295"/>
    <w:p w14:paraId="4B153CA4" w14:textId="6BC4CE3B" w:rsidR="00892439" w:rsidRPr="008D0295" w:rsidRDefault="004A506F" w:rsidP="004A506F">
      <w:r w:rsidRPr="004A506F">
        <w:rPr>
          <w:rFonts w:ascii="Arial" w:hAnsi="Arial" w:cs="Arial"/>
          <w:color w:val="000000"/>
        </w:rPr>
        <w:t>NHS Derby and Derbyshire ICB commissions services from providers within the system</w:t>
      </w:r>
      <w:r w:rsidR="005F4CB7">
        <w:rPr>
          <w:rFonts w:ascii="Arial" w:hAnsi="Arial" w:cs="Arial"/>
          <w:color w:val="000000"/>
        </w:rPr>
        <w:t>, ensuring</w:t>
      </w:r>
      <w:r w:rsidRPr="004A506F">
        <w:rPr>
          <w:rFonts w:ascii="Arial" w:hAnsi="Arial" w:cs="Arial"/>
          <w:color w:val="000000"/>
        </w:rPr>
        <w:t xml:space="preserve"> that service design aligns with national guidelines and standards.</w:t>
      </w:r>
    </w:p>
    <w:p w14:paraId="08C445DC" w14:textId="738E3FA5" w:rsidR="00892439" w:rsidRPr="008D0295" w:rsidRDefault="00DB1F6A" w:rsidP="00DB1F6A">
      <w:pPr>
        <w:autoSpaceDE w:val="0"/>
        <w:autoSpaceDN w:val="0"/>
        <w:adjustRightInd w:val="0"/>
        <w:spacing w:line="240" w:lineRule="auto"/>
        <w:jc w:val="both"/>
        <w:rPr>
          <w:rFonts w:ascii="Arial" w:hAnsi="Arial" w:cs="Arial"/>
          <w:bCs/>
          <w:color w:val="000000"/>
        </w:rPr>
      </w:pPr>
      <w:r w:rsidRPr="008D0295">
        <w:rPr>
          <w:rFonts w:ascii="Arial" w:hAnsi="Arial" w:cs="Arial"/>
          <w:bCs/>
          <w:color w:val="000000"/>
        </w:rPr>
        <w:t xml:space="preserve">Derbyshire Community Health Services (DCHS) have been contracted to deliver the service for 2025/26. In </w:t>
      </w:r>
      <w:r w:rsidR="008000E4" w:rsidRPr="008D0295">
        <w:rPr>
          <w:rFonts w:ascii="Arial" w:hAnsi="Arial" w:cs="Arial"/>
          <w:bCs/>
          <w:color w:val="000000"/>
        </w:rPr>
        <w:t>addition,</w:t>
      </w:r>
      <w:r w:rsidRPr="008D0295">
        <w:rPr>
          <w:rFonts w:ascii="Arial" w:hAnsi="Arial" w:cs="Arial"/>
          <w:bCs/>
          <w:color w:val="000000"/>
        </w:rPr>
        <w:t xml:space="preserve"> a service development and improvement plan (SDIP) has been included in the contract, to support the development of a recurrent service model for 2026/27 onwards. </w:t>
      </w:r>
    </w:p>
    <w:p w14:paraId="372B24D4" w14:textId="77777777" w:rsidR="00544968" w:rsidRPr="008D0295" w:rsidRDefault="00544968" w:rsidP="00F4449E">
      <w:pPr>
        <w:pStyle w:val="ListParagraph"/>
        <w:spacing w:after="0" w:line="240" w:lineRule="auto"/>
        <w:jc w:val="both"/>
        <w:rPr>
          <w:rFonts w:ascii="Arial" w:hAnsi="Arial" w:cs="Arial"/>
        </w:rPr>
      </w:pPr>
    </w:p>
    <w:p w14:paraId="694EA492" w14:textId="1CAE805E" w:rsidR="000C6347" w:rsidRDefault="004F0B17" w:rsidP="008D0295">
      <w:pPr>
        <w:pStyle w:val="Heading2"/>
      </w:pPr>
      <w:bookmarkStart w:id="13" w:name="_Toc211436402"/>
      <w:bookmarkStart w:id="14" w:name="_Hlk136610165"/>
      <w:r w:rsidRPr="008D0295">
        <w:t>2.</w:t>
      </w:r>
      <w:r w:rsidR="00B93925" w:rsidRPr="008D0295">
        <w:t>8</w:t>
      </w:r>
      <w:r w:rsidRPr="008D0295">
        <w:t xml:space="preserve"> </w:t>
      </w:r>
      <w:r w:rsidR="002E5025" w:rsidRPr="008D0295">
        <w:t>Finances</w:t>
      </w:r>
      <w:bookmarkEnd w:id="13"/>
      <w:r w:rsidR="002E5025" w:rsidRPr="008D0295">
        <w:t xml:space="preserve"> </w:t>
      </w:r>
    </w:p>
    <w:p w14:paraId="1AB2F8E0" w14:textId="77777777" w:rsidR="008D0295" w:rsidRPr="008D0295" w:rsidRDefault="008D0295" w:rsidP="008D0295"/>
    <w:p w14:paraId="3E386A74" w14:textId="51900855" w:rsidR="000C6347" w:rsidRPr="008D0295" w:rsidRDefault="004F0B17" w:rsidP="00F4449E">
      <w:pPr>
        <w:spacing w:line="240" w:lineRule="auto"/>
        <w:jc w:val="both"/>
        <w:rPr>
          <w:rFonts w:ascii="Arial" w:hAnsi="Arial" w:cs="Arial"/>
        </w:rPr>
      </w:pPr>
      <w:bookmarkStart w:id="15" w:name="_Hlk138405725"/>
      <w:r w:rsidRPr="008D0295">
        <w:rPr>
          <w:rFonts w:ascii="Arial" w:hAnsi="Arial" w:cs="Arial"/>
        </w:rPr>
        <w:t>The Post (Long) C</w:t>
      </w:r>
      <w:r w:rsidR="008000E4" w:rsidRPr="008D0295">
        <w:rPr>
          <w:rFonts w:ascii="Arial" w:hAnsi="Arial" w:cs="Arial"/>
        </w:rPr>
        <w:t>OVID</w:t>
      </w:r>
      <w:r w:rsidRPr="008D0295">
        <w:rPr>
          <w:rFonts w:ascii="Arial" w:hAnsi="Arial" w:cs="Arial"/>
        </w:rPr>
        <w:t xml:space="preserve"> Service </w:t>
      </w:r>
      <w:r w:rsidR="00EE7544" w:rsidRPr="008D0295">
        <w:rPr>
          <w:rFonts w:ascii="Arial" w:hAnsi="Arial" w:cs="Arial"/>
        </w:rPr>
        <w:t>was originally</w:t>
      </w:r>
      <w:r w:rsidRPr="008D0295">
        <w:rPr>
          <w:rFonts w:ascii="Arial" w:hAnsi="Arial" w:cs="Arial"/>
        </w:rPr>
        <w:t xml:space="preserve"> funded by non-recurrent funds provided by NHSE. </w:t>
      </w:r>
    </w:p>
    <w:p w14:paraId="7652A1F2" w14:textId="26A211BB" w:rsidR="00167F09" w:rsidRPr="008D0295" w:rsidRDefault="00167F09" w:rsidP="00167F09">
      <w:pPr>
        <w:spacing w:line="240" w:lineRule="auto"/>
        <w:jc w:val="both"/>
        <w:rPr>
          <w:rFonts w:ascii="Arial" w:hAnsi="Arial" w:cs="Arial"/>
          <w:color w:val="000000" w:themeColor="text1"/>
        </w:rPr>
      </w:pPr>
      <w:r w:rsidRPr="008D0295">
        <w:rPr>
          <w:rFonts w:ascii="Arial" w:hAnsi="Arial" w:cs="Arial"/>
          <w:color w:val="000000" w:themeColor="text1"/>
        </w:rPr>
        <w:t>NHSE confirmed in January 2024 that funding for</w:t>
      </w:r>
      <w:r w:rsidR="00E82736" w:rsidRPr="008D0295">
        <w:rPr>
          <w:rFonts w:ascii="Arial" w:hAnsi="Arial" w:cs="Arial"/>
          <w:color w:val="000000" w:themeColor="text1"/>
        </w:rPr>
        <w:t xml:space="preserve"> the</w:t>
      </w:r>
      <w:r w:rsidRPr="008D0295">
        <w:rPr>
          <w:rFonts w:ascii="Arial" w:hAnsi="Arial" w:cs="Arial"/>
          <w:color w:val="000000" w:themeColor="text1"/>
        </w:rPr>
        <w:t xml:space="preserve"> adult post COVID services would be included in ICB baseline funding as recurrent, at the same levels as 2023/24, with responsibility for commissioning the programme moving to ICBs from April 2024. Updated guidance was issued, and intended to be used as a blueprint for best practice and designed to be adapted to local needs (</w:t>
      </w:r>
      <w:hyperlink r:id="rId13" w:history="1">
        <w:r w:rsidRPr="008D0295">
          <w:rPr>
            <w:rStyle w:val="Hyperlink"/>
            <w:rFonts w:ascii="Arial" w:hAnsi="Arial" w:cs="Arial"/>
          </w:rPr>
          <w:t>NHS England » Commissioning guidance for post-COVID services for adults, children and young people</w:t>
        </w:r>
      </w:hyperlink>
      <w:r w:rsidRPr="008D0295">
        <w:rPr>
          <w:rFonts w:ascii="Arial" w:hAnsi="Arial" w:cs="Arial"/>
          <w:color w:val="000000" w:themeColor="text1"/>
        </w:rPr>
        <w:t xml:space="preserve">). </w:t>
      </w:r>
    </w:p>
    <w:p w14:paraId="035AF358" w14:textId="68112F54" w:rsidR="00E44253" w:rsidRDefault="00DB1F6A" w:rsidP="00271A72">
      <w:pPr>
        <w:spacing w:line="240" w:lineRule="auto"/>
        <w:jc w:val="both"/>
        <w:rPr>
          <w:rFonts w:ascii="Arial" w:hAnsi="Arial" w:cs="Arial"/>
          <w:color w:val="000000" w:themeColor="text1"/>
        </w:rPr>
      </w:pPr>
      <w:r w:rsidRPr="008D0295">
        <w:rPr>
          <w:rFonts w:ascii="Arial" w:hAnsi="Arial" w:cs="Arial"/>
          <w:color w:val="000000" w:themeColor="text1"/>
        </w:rPr>
        <w:t>In 2023/24 a service review was undertaken and from 2024/25 a decision was made to</w:t>
      </w:r>
      <w:r w:rsidR="00271A72" w:rsidRPr="008D0295">
        <w:rPr>
          <w:rFonts w:ascii="Arial" w:hAnsi="Arial" w:cs="Arial"/>
          <w:color w:val="000000" w:themeColor="text1"/>
        </w:rPr>
        <w:t xml:space="preserve"> reduce resource to </w:t>
      </w:r>
      <w:r w:rsidRPr="008D0295">
        <w:rPr>
          <w:rFonts w:ascii="Arial" w:hAnsi="Arial" w:cs="Arial"/>
          <w:color w:val="000000" w:themeColor="text1"/>
        </w:rPr>
        <w:t xml:space="preserve">the service </w:t>
      </w:r>
      <w:r w:rsidR="00271A72" w:rsidRPr="008D0295">
        <w:rPr>
          <w:rFonts w:ascii="Arial" w:hAnsi="Arial" w:cs="Arial"/>
          <w:color w:val="000000" w:themeColor="text1"/>
        </w:rPr>
        <w:t xml:space="preserve">to reflect the decrease in activity. </w:t>
      </w:r>
      <w:bookmarkEnd w:id="14"/>
      <w:bookmarkEnd w:id="15"/>
    </w:p>
    <w:p w14:paraId="7A77146E" w14:textId="77777777" w:rsidR="008D0295" w:rsidRPr="008D0295" w:rsidRDefault="008D0295" w:rsidP="00271A72">
      <w:pPr>
        <w:spacing w:line="240" w:lineRule="auto"/>
        <w:jc w:val="both"/>
        <w:rPr>
          <w:rFonts w:ascii="Arial" w:hAnsi="Arial" w:cs="Arial"/>
          <w:color w:val="FF0000"/>
        </w:rPr>
      </w:pPr>
    </w:p>
    <w:p w14:paraId="655F34F9" w14:textId="4A96AA00" w:rsidR="00D936D9" w:rsidRDefault="00F726D4" w:rsidP="008D0295">
      <w:pPr>
        <w:pStyle w:val="Heading2"/>
      </w:pPr>
      <w:r w:rsidRPr="008D0295">
        <w:t xml:space="preserve"> </w:t>
      </w:r>
      <w:bookmarkStart w:id="16" w:name="_Toc211436403"/>
      <w:r w:rsidR="00D936D9" w:rsidRPr="008D0295">
        <w:t>2.</w:t>
      </w:r>
      <w:r w:rsidR="00B93925" w:rsidRPr="008D0295">
        <w:t>9</w:t>
      </w:r>
      <w:r w:rsidR="00D936D9" w:rsidRPr="008D0295">
        <w:t xml:space="preserve"> </w:t>
      </w:r>
      <w:r w:rsidR="00D85A2E" w:rsidRPr="008D0295">
        <w:t xml:space="preserve">Service </w:t>
      </w:r>
      <w:r w:rsidR="00D936D9" w:rsidRPr="008D0295">
        <w:t>Performance</w:t>
      </w:r>
      <w:r w:rsidR="00D85A2E" w:rsidRPr="008D0295">
        <w:t xml:space="preserve"> Data</w:t>
      </w:r>
      <w:bookmarkEnd w:id="16"/>
    </w:p>
    <w:p w14:paraId="0246FBF9" w14:textId="77777777" w:rsidR="008D0295" w:rsidRPr="008D0295" w:rsidRDefault="008D0295" w:rsidP="008D0295"/>
    <w:p w14:paraId="45E6FC03" w14:textId="7B0FA6A3" w:rsidR="006C0B0C" w:rsidRDefault="006A3F7C" w:rsidP="00F4449E">
      <w:pPr>
        <w:spacing w:after="0" w:line="240" w:lineRule="auto"/>
        <w:jc w:val="both"/>
        <w:rPr>
          <w:rFonts w:ascii="Arial" w:hAnsi="Arial" w:cs="Arial"/>
          <w:u w:val="single"/>
        </w:rPr>
      </w:pPr>
      <w:r w:rsidRPr="008D0295">
        <w:rPr>
          <w:rFonts w:ascii="Arial" w:hAnsi="Arial" w:cs="Arial"/>
          <w:u w:val="single"/>
        </w:rPr>
        <w:t>Referral Data</w:t>
      </w:r>
      <w:r w:rsidR="008000E4" w:rsidRPr="008D0295">
        <w:rPr>
          <w:rFonts w:ascii="Arial" w:hAnsi="Arial" w:cs="Arial"/>
          <w:u w:val="single"/>
        </w:rPr>
        <w:t xml:space="preserve"> </w:t>
      </w:r>
      <w:r w:rsidR="005F4CB7">
        <w:rPr>
          <w:rFonts w:ascii="Arial" w:hAnsi="Arial" w:cs="Arial"/>
          <w:u w:val="single"/>
        </w:rPr>
        <w:t xml:space="preserve">– Federated Data Platform </w:t>
      </w:r>
      <w:r w:rsidR="00B946EC">
        <w:rPr>
          <w:rFonts w:ascii="Arial" w:hAnsi="Arial" w:cs="Arial"/>
          <w:u w:val="single"/>
        </w:rPr>
        <w:t xml:space="preserve">Post COVID assessment </w:t>
      </w:r>
    </w:p>
    <w:p w14:paraId="0B96A208" w14:textId="77777777" w:rsidR="003623D5" w:rsidRPr="008D0295" w:rsidRDefault="003623D5" w:rsidP="00F4449E">
      <w:pPr>
        <w:spacing w:after="0" w:line="240" w:lineRule="auto"/>
        <w:jc w:val="both"/>
        <w:rPr>
          <w:rFonts w:ascii="Arial" w:hAnsi="Arial" w:cs="Arial"/>
          <w:u w:val="single"/>
        </w:rPr>
      </w:pPr>
    </w:p>
    <w:p w14:paraId="4BD18B19" w14:textId="09A5755B" w:rsidR="0028587D" w:rsidRPr="008D0295" w:rsidRDefault="003623D5" w:rsidP="00F4449E">
      <w:pPr>
        <w:spacing w:after="0" w:line="240" w:lineRule="auto"/>
        <w:jc w:val="both"/>
        <w:rPr>
          <w:rFonts w:ascii="Arial" w:hAnsi="Arial" w:cs="Arial"/>
          <w:u w:val="single"/>
        </w:rPr>
      </w:pPr>
      <w:r>
        <w:rPr>
          <w:noProof/>
        </w:rPr>
        <w:drawing>
          <wp:inline distT="0" distB="0" distL="0" distR="0" wp14:anchorId="53683ADB" wp14:editId="60A6B634">
            <wp:extent cx="4572000" cy="2743200"/>
            <wp:effectExtent l="0" t="0" r="0" b="0"/>
            <wp:docPr id="1641911712" name="Chart 1">
              <a:extLst xmlns:a="http://schemas.openxmlformats.org/drawingml/2006/main">
                <a:ext uri="{FF2B5EF4-FFF2-40B4-BE49-F238E27FC236}">
                  <a16:creationId xmlns:a16="http://schemas.microsoft.com/office/drawing/2014/main" id="{784F75A2-BC6D-EE00-2FE9-7730FBC768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A8BDC6" w14:textId="77777777" w:rsidR="0028587D" w:rsidRPr="008D0295" w:rsidRDefault="0028587D" w:rsidP="00F4449E">
      <w:pPr>
        <w:spacing w:after="0" w:line="240" w:lineRule="auto"/>
        <w:jc w:val="both"/>
        <w:rPr>
          <w:rFonts w:ascii="Arial" w:hAnsi="Arial" w:cs="Arial"/>
          <w:u w:val="single"/>
        </w:rPr>
      </w:pPr>
    </w:p>
    <w:p w14:paraId="68225B16" w14:textId="0FECC109" w:rsidR="0028587D" w:rsidRPr="008D0295" w:rsidRDefault="0028587D" w:rsidP="0028587D">
      <w:pPr>
        <w:rPr>
          <w:rFonts w:ascii="Arial" w:hAnsi="Arial" w:cs="Arial"/>
        </w:rPr>
      </w:pPr>
      <w:r w:rsidRPr="008D0295">
        <w:rPr>
          <w:rFonts w:ascii="Arial" w:hAnsi="Arial" w:cs="Arial"/>
        </w:rPr>
        <w:lastRenderedPageBreak/>
        <w:t xml:space="preserve">This data shows a decrease in the referral rate by 100,000 population from 4.22 referrals per 100,000 people in July 2024 to 0.22 referrals per 100,000 people in June 2025. </w:t>
      </w:r>
    </w:p>
    <w:p w14:paraId="670FF5A6" w14:textId="60DBB7AD" w:rsidR="0028587D" w:rsidRPr="008D0295" w:rsidRDefault="0028587D" w:rsidP="0028587D">
      <w:pPr>
        <w:rPr>
          <w:rFonts w:ascii="Arial" w:hAnsi="Arial" w:cs="Arial"/>
        </w:rPr>
      </w:pPr>
      <w:r w:rsidRPr="008D0295">
        <w:rPr>
          <w:rFonts w:ascii="Arial" w:hAnsi="Arial" w:cs="Arial"/>
        </w:rPr>
        <w:t>Please note that the data provided by NHS England does not account for the increase in referrals observed in June and July 2025. This recent rise will be assessed as part of the forthcoming service review.</w:t>
      </w:r>
    </w:p>
    <w:p w14:paraId="1111EC50" w14:textId="1ED747F9" w:rsidR="008000E4" w:rsidRPr="008D0295" w:rsidRDefault="008000E4" w:rsidP="00F4449E">
      <w:pPr>
        <w:spacing w:after="0" w:line="240" w:lineRule="auto"/>
        <w:jc w:val="both"/>
        <w:rPr>
          <w:rFonts w:ascii="Arial" w:hAnsi="Arial" w:cs="Arial"/>
          <w:u w:val="single"/>
        </w:rPr>
      </w:pPr>
    </w:p>
    <w:p w14:paraId="08C52E0A" w14:textId="1944CACD" w:rsidR="00AD7893" w:rsidRPr="008D0295" w:rsidRDefault="0028587D" w:rsidP="00F4449E">
      <w:pPr>
        <w:spacing w:after="0" w:line="240" w:lineRule="auto"/>
        <w:jc w:val="both"/>
        <w:rPr>
          <w:rFonts w:ascii="Arial" w:hAnsi="Arial" w:cs="Arial"/>
          <w:u w:val="single"/>
        </w:rPr>
      </w:pPr>
      <w:r w:rsidRPr="008D0295">
        <w:rPr>
          <w:rFonts w:ascii="Arial" w:hAnsi="Arial" w:cs="Arial"/>
          <w:u w:val="single"/>
        </w:rPr>
        <w:t xml:space="preserve">Initial Assessments and Follow Up Assessments </w:t>
      </w:r>
    </w:p>
    <w:p w14:paraId="217C4097" w14:textId="77777777" w:rsidR="00A62B8A" w:rsidRPr="008D0295" w:rsidRDefault="00A62B8A" w:rsidP="00F4449E">
      <w:pPr>
        <w:spacing w:after="0" w:line="240" w:lineRule="auto"/>
        <w:jc w:val="both"/>
        <w:rPr>
          <w:rFonts w:ascii="Arial" w:hAnsi="Arial" w:cs="Arial"/>
          <w:u w:val="single"/>
        </w:rPr>
      </w:pPr>
    </w:p>
    <w:p w14:paraId="7B0D145C" w14:textId="46908632" w:rsidR="00A62B8A" w:rsidRPr="008D0295" w:rsidRDefault="00A62B8A" w:rsidP="00F4449E">
      <w:pPr>
        <w:spacing w:after="0" w:line="240" w:lineRule="auto"/>
        <w:jc w:val="both"/>
        <w:rPr>
          <w:rFonts w:ascii="Arial" w:hAnsi="Arial" w:cs="Arial"/>
          <w:u w:val="single"/>
        </w:rPr>
      </w:pPr>
      <w:r w:rsidRPr="008D0295">
        <w:rPr>
          <w:rFonts w:ascii="Arial" w:hAnsi="Arial" w:cs="Arial"/>
          <w:noProof/>
        </w:rPr>
        <w:drawing>
          <wp:inline distT="0" distB="0" distL="0" distR="0" wp14:anchorId="3178FFB6" wp14:editId="09F6B0E7">
            <wp:extent cx="4572000" cy="2695575"/>
            <wp:effectExtent l="0" t="0" r="0" b="9525"/>
            <wp:docPr id="1317121636" name="Chart 1">
              <a:extLst xmlns:a="http://schemas.openxmlformats.org/drawingml/2006/main">
                <a:ext uri="{FF2B5EF4-FFF2-40B4-BE49-F238E27FC236}">
                  <a16:creationId xmlns:a16="http://schemas.microsoft.com/office/drawing/2014/main" id="{BF68E979-572F-14B4-B579-45E6469CA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2487196" w14:textId="77777777" w:rsidR="0028587D" w:rsidRPr="008D0295" w:rsidRDefault="0028587D" w:rsidP="00F4449E">
      <w:pPr>
        <w:spacing w:after="0" w:line="240" w:lineRule="auto"/>
        <w:jc w:val="both"/>
        <w:rPr>
          <w:rFonts w:ascii="Arial" w:hAnsi="Arial" w:cs="Arial"/>
          <w:u w:val="single"/>
        </w:rPr>
      </w:pPr>
    </w:p>
    <w:p w14:paraId="0BD43E9F" w14:textId="4584D68B" w:rsidR="0028587D" w:rsidRPr="008D0295" w:rsidRDefault="0028587D" w:rsidP="00F4449E">
      <w:pPr>
        <w:spacing w:after="0" w:line="240" w:lineRule="auto"/>
        <w:jc w:val="both"/>
        <w:rPr>
          <w:rFonts w:ascii="Arial" w:hAnsi="Arial" w:cs="Arial"/>
        </w:rPr>
      </w:pPr>
      <w:r w:rsidRPr="008D0295">
        <w:rPr>
          <w:rFonts w:ascii="Arial" w:hAnsi="Arial" w:cs="Arial"/>
        </w:rPr>
        <w:t xml:space="preserve">Data submitted to NHS England shows that between July 2024 and </w:t>
      </w:r>
      <w:r w:rsidR="00A62B8A" w:rsidRPr="008D0295">
        <w:rPr>
          <w:rFonts w:ascii="Arial" w:hAnsi="Arial" w:cs="Arial"/>
        </w:rPr>
        <w:t>April</w:t>
      </w:r>
      <w:r w:rsidRPr="008D0295">
        <w:rPr>
          <w:rFonts w:ascii="Arial" w:hAnsi="Arial" w:cs="Arial"/>
        </w:rPr>
        <w:t xml:space="preserve"> 2025, 200 initial assessments were carried out. </w:t>
      </w:r>
      <w:r w:rsidR="00A62B8A" w:rsidRPr="008D0295">
        <w:rPr>
          <w:rFonts w:ascii="Arial" w:hAnsi="Arial" w:cs="Arial"/>
        </w:rPr>
        <w:t>The average</w:t>
      </w:r>
      <w:r w:rsidR="00D23F11">
        <w:rPr>
          <w:rFonts w:ascii="Arial" w:hAnsi="Arial" w:cs="Arial"/>
        </w:rPr>
        <w:t xml:space="preserve"> number of initial appointments over this </w:t>
      </w:r>
      <w:proofErr w:type="gramStart"/>
      <w:r w:rsidR="00D23F11">
        <w:rPr>
          <w:rFonts w:ascii="Arial" w:hAnsi="Arial" w:cs="Arial"/>
        </w:rPr>
        <w:t>time period</w:t>
      </w:r>
      <w:proofErr w:type="gramEnd"/>
      <w:r w:rsidR="00D23F11">
        <w:rPr>
          <w:rFonts w:ascii="Arial" w:hAnsi="Arial" w:cs="Arial"/>
        </w:rPr>
        <w:t xml:space="preserve"> </w:t>
      </w:r>
      <w:r w:rsidR="00A62B8A" w:rsidRPr="008D0295">
        <w:rPr>
          <w:rFonts w:ascii="Arial" w:hAnsi="Arial" w:cs="Arial"/>
        </w:rPr>
        <w:t>was therefore 20</w:t>
      </w:r>
      <w:r w:rsidR="00553E3A">
        <w:rPr>
          <w:rFonts w:ascii="Arial" w:hAnsi="Arial" w:cs="Arial"/>
        </w:rPr>
        <w:t xml:space="preserve"> per month</w:t>
      </w:r>
      <w:r w:rsidR="00A62B8A" w:rsidRPr="008D0295">
        <w:rPr>
          <w:rFonts w:ascii="Arial" w:hAnsi="Arial" w:cs="Arial"/>
        </w:rPr>
        <w:t>, with t</w:t>
      </w:r>
      <w:r w:rsidRPr="008D0295">
        <w:rPr>
          <w:rFonts w:ascii="Arial" w:hAnsi="Arial" w:cs="Arial"/>
        </w:rPr>
        <w:t xml:space="preserve">he </w:t>
      </w:r>
      <w:r w:rsidR="00A62B8A" w:rsidRPr="008D0295">
        <w:rPr>
          <w:rFonts w:ascii="Arial" w:hAnsi="Arial" w:cs="Arial"/>
        </w:rPr>
        <w:t xml:space="preserve">rates </w:t>
      </w:r>
      <w:r w:rsidRPr="008D0295">
        <w:rPr>
          <w:rFonts w:ascii="Arial" w:hAnsi="Arial" w:cs="Arial"/>
        </w:rPr>
        <w:t>rang</w:t>
      </w:r>
      <w:r w:rsidR="00A62B8A" w:rsidRPr="008D0295">
        <w:rPr>
          <w:rFonts w:ascii="Arial" w:hAnsi="Arial" w:cs="Arial"/>
        </w:rPr>
        <w:t>ing</w:t>
      </w:r>
      <w:r w:rsidRPr="008D0295">
        <w:rPr>
          <w:rFonts w:ascii="Arial" w:hAnsi="Arial" w:cs="Arial"/>
        </w:rPr>
        <w:t xml:space="preserve"> from 10 in July 2024 and 29 in January 2025. </w:t>
      </w:r>
    </w:p>
    <w:p w14:paraId="1E0A2C3A" w14:textId="77777777" w:rsidR="0028587D" w:rsidRPr="008D0295" w:rsidRDefault="0028587D" w:rsidP="00F4449E">
      <w:pPr>
        <w:spacing w:after="0" w:line="240" w:lineRule="auto"/>
        <w:jc w:val="both"/>
        <w:rPr>
          <w:rFonts w:ascii="Arial" w:hAnsi="Arial" w:cs="Arial"/>
        </w:rPr>
      </w:pPr>
    </w:p>
    <w:p w14:paraId="211BA232" w14:textId="77777777" w:rsidR="00A62B8A" w:rsidRPr="008D0295" w:rsidRDefault="0028587D" w:rsidP="00F4449E">
      <w:pPr>
        <w:spacing w:after="0" w:line="240" w:lineRule="auto"/>
        <w:jc w:val="both"/>
        <w:rPr>
          <w:rFonts w:ascii="Arial" w:hAnsi="Arial" w:cs="Arial"/>
        </w:rPr>
      </w:pPr>
      <w:r w:rsidRPr="008D0295">
        <w:rPr>
          <w:rFonts w:ascii="Arial" w:hAnsi="Arial" w:cs="Arial"/>
        </w:rPr>
        <w:t xml:space="preserve">In this same time </w:t>
      </w:r>
      <w:proofErr w:type="gramStart"/>
      <w:r w:rsidRPr="008D0295">
        <w:rPr>
          <w:rFonts w:ascii="Arial" w:hAnsi="Arial" w:cs="Arial"/>
        </w:rPr>
        <w:t>period</w:t>
      </w:r>
      <w:proofErr w:type="gramEnd"/>
      <w:r w:rsidRPr="008D0295">
        <w:rPr>
          <w:rFonts w:ascii="Arial" w:hAnsi="Arial" w:cs="Arial"/>
        </w:rPr>
        <w:t xml:space="preserve"> </w:t>
      </w:r>
      <w:r w:rsidR="00A62B8A" w:rsidRPr="008D0295">
        <w:rPr>
          <w:rFonts w:ascii="Arial" w:hAnsi="Arial" w:cs="Arial"/>
        </w:rPr>
        <w:t xml:space="preserve">there were 433 follow up appointments. The average per month was 43, with the rates ranging from 69 in August 2024 to 23 in November 2024. </w:t>
      </w:r>
    </w:p>
    <w:p w14:paraId="38CD4D8C" w14:textId="77777777" w:rsidR="00A62B8A" w:rsidRPr="008D0295" w:rsidRDefault="00A62B8A" w:rsidP="00F4449E">
      <w:pPr>
        <w:spacing w:after="0" w:line="240" w:lineRule="auto"/>
        <w:jc w:val="both"/>
        <w:rPr>
          <w:rFonts w:ascii="Arial" w:hAnsi="Arial" w:cs="Arial"/>
        </w:rPr>
      </w:pPr>
    </w:p>
    <w:p w14:paraId="175C1B94" w14:textId="6CD56A1F" w:rsidR="00A62B8A" w:rsidRPr="008D0295" w:rsidRDefault="00A62B8A" w:rsidP="00F4449E">
      <w:pPr>
        <w:spacing w:after="0" w:line="240" w:lineRule="auto"/>
        <w:jc w:val="both"/>
        <w:rPr>
          <w:rFonts w:ascii="Arial" w:hAnsi="Arial" w:cs="Arial"/>
        </w:rPr>
      </w:pPr>
      <w:r w:rsidRPr="008D0295">
        <w:rPr>
          <w:rFonts w:ascii="Arial" w:hAnsi="Arial" w:cs="Arial"/>
          <w:noProof/>
        </w:rPr>
        <w:drawing>
          <wp:inline distT="0" distB="0" distL="0" distR="0" wp14:anchorId="52552118" wp14:editId="0540A326">
            <wp:extent cx="4572000" cy="2743200"/>
            <wp:effectExtent l="0" t="0" r="0" b="0"/>
            <wp:docPr id="453356832" name="Chart 1">
              <a:extLst xmlns:a="http://schemas.openxmlformats.org/drawingml/2006/main">
                <a:ext uri="{FF2B5EF4-FFF2-40B4-BE49-F238E27FC236}">
                  <a16:creationId xmlns:a16="http://schemas.microsoft.com/office/drawing/2014/main" id="{DAA16E00-7965-1D3B-D457-F5990EC0D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45B942" w14:textId="77777777" w:rsidR="00A62B8A" w:rsidRPr="008D0295" w:rsidRDefault="00A62B8A" w:rsidP="00F4449E">
      <w:pPr>
        <w:spacing w:after="0" w:line="240" w:lineRule="auto"/>
        <w:jc w:val="both"/>
        <w:rPr>
          <w:rFonts w:ascii="Arial" w:hAnsi="Arial" w:cs="Arial"/>
        </w:rPr>
      </w:pPr>
    </w:p>
    <w:p w14:paraId="0AFE2F1F" w14:textId="357315C4" w:rsidR="0028587D" w:rsidRPr="008D0295" w:rsidRDefault="00A62B8A" w:rsidP="00A62B8A">
      <w:pPr>
        <w:rPr>
          <w:rFonts w:ascii="Arial" w:hAnsi="Arial" w:cs="Arial"/>
        </w:rPr>
      </w:pPr>
      <w:r w:rsidRPr="008D0295">
        <w:rPr>
          <w:rFonts w:ascii="Arial" w:hAnsi="Arial" w:cs="Arial"/>
        </w:rPr>
        <w:lastRenderedPageBreak/>
        <w:t>The frequency of follow-up assessments has demonstrated a steady downward trend, with six of the past seven months recording rates below the average.</w:t>
      </w:r>
      <w:r w:rsidR="00734EA6">
        <w:rPr>
          <w:rFonts w:ascii="Arial" w:hAnsi="Arial" w:cs="Arial"/>
        </w:rPr>
        <w:t xml:space="preserve"> It must be noted that this data does not reflect the perceived level of follow up activity at DCHS but is the only data currently available. </w:t>
      </w:r>
    </w:p>
    <w:p w14:paraId="2035CCD7" w14:textId="67538D9C" w:rsidR="005A7488" w:rsidRPr="008D0295" w:rsidRDefault="006A3F7C" w:rsidP="00F4449E">
      <w:pPr>
        <w:spacing w:after="0" w:line="240" w:lineRule="auto"/>
        <w:jc w:val="both"/>
        <w:rPr>
          <w:rFonts w:ascii="Arial" w:hAnsi="Arial" w:cs="Arial"/>
          <w:u w:val="single"/>
        </w:rPr>
      </w:pPr>
      <w:r w:rsidRPr="008D0295">
        <w:rPr>
          <w:rFonts w:ascii="Arial" w:hAnsi="Arial" w:cs="Arial"/>
          <w:u w:val="single"/>
        </w:rPr>
        <w:t>Waiting List Data</w:t>
      </w:r>
    </w:p>
    <w:p w14:paraId="69D66E53" w14:textId="76802B65" w:rsidR="006A3F7C" w:rsidRPr="008D0295" w:rsidRDefault="006A3F7C" w:rsidP="00F4449E">
      <w:pPr>
        <w:spacing w:after="0" w:line="240" w:lineRule="auto"/>
        <w:jc w:val="both"/>
        <w:rPr>
          <w:rFonts w:ascii="Arial" w:hAnsi="Arial" w:cs="Arial"/>
          <w:b/>
          <w:bCs/>
        </w:rPr>
      </w:pPr>
    </w:p>
    <w:p w14:paraId="30E5E496" w14:textId="77777777" w:rsidR="008000E4" w:rsidRPr="008D0295" w:rsidRDefault="008000E4" w:rsidP="00F4449E">
      <w:pPr>
        <w:spacing w:after="0" w:line="240" w:lineRule="auto"/>
        <w:jc w:val="both"/>
        <w:rPr>
          <w:rFonts w:ascii="Arial" w:hAnsi="Arial" w:cs="Arial"/>
          <w:color w:val="000000" w:themeColor="text1"/>
        </w:rPr>
      </w:pPr>
      <w:r w:rsidRPr="008D0295">
        <w:rPr>
          <w:rFonts w:ascii="Arial" w:hAnsi="Arial" w:cs="Arial"/>
          <w:noProof/>
        </w:rPr>
        <w:drawing>
          <wp:inline distT="0" distB="0" distL="0" distR="0" wp14:anchorId="3A7D9A65" wp14:editId="21EB11F5">
            <wp:extent cx="5731510" cy="1965325"/>
            <wp:effectExtent l="0" t="0" r="2540" b="15875"/>
            <wp:docPr id="1241861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31510" cy="1965325"/>
                    </a:xfrm>
                    <a:prstGeom prst="rect">
                      <a:avLst/>
                    </a:prstGeom>
                    <a:noFill/>
                    <a:ln>
                      <a:noFill/>
                    </a:ln>
                  </pic:spPr>
                </pic:pic>
              </a:graphicData>
            </a:graphic>
          </wp:inline>
        </w:drawing>
      </w:r>
    </w:p>
    <w:p w14:paraId="6EAE3CE3" w14:textId="77777777" w:rsidR="008000E4" w:rsidRPr="008D0295" w:rsidRDefault="008000E4" w:rsidP="00F4449E">
      <w:pPr>
        <w:spacing w:after="0" w:line="240" w:lineRule="auto"/>
        <w:jc w:val="both"/>
        <w:rPr>
          <w:rFonts w:ascii="Arial" w:hAnsi="Arial" w:cs="Arial"/>
          <w:color w:val="000000" w:themeColor="text1"/>
        </w:rPr>
      </w:pPr>
    </w:p>
    <w:p w14:paraId="3EA1F345" w14:textId="1B408652" w:rsidR="008000E4" w:rsidRPr="008D0295" w:rsidRDefault="008000E4" w:rsidP="00F4449E">
      <w:pPr>
        <w:spacing w:after="0" w:line="240" w:lineRule="auto"/>
        <w:jc w:val="both"/>
        <w:rPr>
          <w:rFonts w:ascii="Arial" w:hAnsi="Arial" w:cs="Arial"/>
          <w:color w:val="000000" w:themeColor="text1"/>
        </w:rPr>
      </w:pPr>
      <w:r w:rsidRPr="008D0295">
        <w:rPr>
          <w:rFonts w:ascii="Arial" w:hAnsi="Arial" w:cs="Arial"/>
          <w:color w:val="000000" w:themeColor="text1"/>
        </w:rPr>
        <w:t xml:space="preserve">NB: </w:t>
      </w:r>
      <w:r w:rsidR="00F30276" w:rsidRPr="008D0295">
        <w:rPr>
          <w:rFonts w:ascii="Arial" w:hAnsi="Arial" w:cs="Arial"/>
          <w:color w:val="000000" w:themeColor="text1"/>
        </w:rPr>
        <w:t>W</w:t>
      </w:r>
      <w:r w:rsidRPr="008D0295">
        <w:rPr>
          <w:rFonts w:ascii="Arial" w:hAnsi="Arial" w:cs="Arial"/>
          <w:color w:val="000000" w:themeColor="text1"/>
        </w:rPr>
        <w:t>ait times</w:t>
      </w:r>
      <w:r w:rsidR="00F30276" w:rsidRPr="008D0295">
        <w:rPr>
          <w:rFonts w:ascii="Arial" w:hAnsi="Arial" w:cs="Arial"/>
          <w:color w:val="000000" w:themeColor="text1"/>
        </w:rPr>
        <w:t xml:space="preserve"> exceeding four weeks</w:t>
      </w:r>
      <w:r w:rsidRPr="008D0295">
        <w:rPr>
          <w:rFonts w:ascii="Arial" w:hAnsi="Arial" w:cs="Arial"/>
          <w:color w:val="000000" w:themeColor="text1"/>
        </w:rPr>
        <w:t xml:space="preserve"> are due to patient choice. </w:t>
      </w:r>
    </w:p>
    <w:p w14:paraId="6F78A35F" w14:textId="77777777" w:rsidR="008000E4" w:rsidRPr="008D0295" w:rsidRDefault="008000E4" w:rsidP="00F4449E">
      <w:pPr>
        <w:spacing w:after="0" w:line="240" w:lineRule="auto"/>
        <w:jc w:val="both"/>
        <w:rPr>
          <w:rFonts w:ascii="Arial" w:hAnsi="Arial" w:cs="Arial"/>
          <w:color w:val="000000" w:themeColor="text1"/>
        </w:rPr>
      </w:pPr>
    </w:p>
    <w:p w14:paraId="3B20082D" w14:textId="2D62B40C" w:rsidR="00E176AC" w:rsidRPr="008D0295" w:rsidRDefault="00742FB9" w:rsidP="00F4449E">
      <w:pPr>
        <w:spacing w:after="0" w:line="240" w:lineRule="auto"/>
        <w:jc w:val="both"/>
        <w:rPr>
          <w:rFonts w:ascii="Arial" w:hAnsi="Arial" w:cs="Arial"/>
          <w:color w:val="000000" w:themeColor="text1"/>
          <w:u w:val="single"/>
        </w:rPr>
      </w:pPr>
      <w:r w:rsidRPr="008D0295">
        <w:rPr>
          <w:rFonts w:ascii="Arial" w:hAnsi="Arial" w:cs="Arial"/>
          <w:color w:val="000000" w:themeColor="text1"/>
          <w:u w:val="single"/>
        </w:rPr>
        <w:t xml:space="preserve">Caseload Information </w:t>
      </w:r>
    </w:p>
    <w:p w14:paraId="040DC6C8" w14:textId="77777777" w:rsidR="00742FB9" w:rsidRPr="008D0295" w:rsidRDefault="00742FB9" w:rsidP="00F4449E">
      <w:pPr>
        <w:spacing w:after="0" w:line="240" w:lineRule="auto"/>
        <w:jc w:val="both"/>
        <w:rPr>
          <w:rFonts w:ascii="Arial" w:hAnsi="Arial" w:cs="Arial"/>
          <w:color w:val="000000" w:themeColor="text1"/>
        </w:rPr>
      </w:pPr>
    </w:p>
    <w:p w14:paraId="613102A8" w14:textId="79F1E2EA" w:rsidR="00B35E7C" w:rsidRPr="008D0295" w:rsidRDefault="008000E4" w:rsidP="00256BA7">
      <w:pPr>
        <w:spacing w:after="0" w:line="240" w:lineRule="auto"/>
        <w:jc w:val="both"/>
        <w:rPr>
          <w:rFonts w:ascii="Arial" w:hAnsi="Arial" w:cs="Arial"/>
          <w:color w:val="FF0000"/>
        </w:rPr>
      </w:pPr>
      <w:r w:rsidRPr="008D0295">
        <w:rPr>
          <w:rFonts w:ascii="Arial" w:hAnsi="Arial" w:cs="Arial"/>
          <w:color w:val="000000" w:themeColor="text1"/>
        </w:rPr>
        <w:t xml:space="preserve">The caseload at the </w:t>
      </w:r>
      <w:r w:rsidR="00256BA7" w:rsidRPr="008D0295">
        <w:rPr>
          <w:rFonts w:ascii="Arial" w:hAnsi="Arial" w:cs="Arial"/>
          <w:color w:val="000000" w:themeColor="text1"/>
        </w:rPr>
        <w:t xml:space="preserve">beginning of August 2025 was 506 patients (a reduction from 540 in June 2025). Of these 506 patients almost 20% were under Patient Initiated Follow Up (PIFU), meaning they were due to be discharged within the next three months, unless they contacted the service for review. </w:t>
      </w:r>
      <w:r w:rsidR="00AC24F8" w:rsidRPr="008D0295">
        <w:rPr>
          <w:rFonts w:ascii="Arial" w:hAnsi="Arial" w:cs="Arial"/>
          <w:color w:val="000000" w:themeColor="text1"/>
        </w:rPr>
        <w:t xml:space="preserve"> </w:t>
      </w:r>
      <w:r w:rsidRPr="008D0295">
        <w:rPr>
          <w:rFonts w:ascii="Arial" w:hAnsi="Arial" w:cs="Arial"/>
          <w:color w:val="000000" w:themeColor="text1"/>
        </w:rPr>
        <w:t xml:space="preserve"> </w:t>
      </w:r>
    </w:p>
    <w:p w14:paraId="36915B04" w14:textId="7437D5FD" w:rsidR="00101D68" w:rsidRPr="008D0295" w:rsidRDefault="00101D68" w:rsidP="00742FB9">
      <w:pPr>
        <w:spacing w:after="0" w:line="240" w:lineRule="auto"/>
        <w:jc w:val="both"/>
        <w:rPr>
          <w:rFonts w:ascii="Arial" w:hAnsi="Arial" w:cs="Arial"/>
          <w:color w:val="FF0000"/>
        </w:rPr>
      </w:pPr>
    </w:p>
    <w:p w14:paraId="24040179" w14:textId="60E800CD" w:rsidR="00101D68" w:rsidRPr="008D0295" w:rsidRDefault="006503A1" w:rsidP="008D0295">
      <w:pPr>
        <w:pStyle w:val="Heading2"/>
      </w:pPr>
      <w:bookmarkStart w:id="17" w:name="_Toc211436404"/>
      <w:r w:rsidRPr="008D0295">
        <w:t>2.</w:t>
      </w:r>
      <w:r w:rsidR="00B93925" w:rsidRPr="008D0295">
        <w:t>10</w:t>
      </w:r>
      <w:r w:rsidRPr="008D0295">
        <w:t xml:space="preserve"> Patient Experience</w:t>
      </w:r>
      <w:bookmarkEnd w:id="17"/>
    </w:p>
    <w:p w14:paraId="6B895FA2" w14:textId="77777777" w:rsidR="008D0295" w:rsidRDefault="008D0295" w:rsidP="00742FB9">
      <w:pPr>
        <w:spacing w:line="240" w:lineRule="auto"/>
        <w:jc w:val="both"/>
        <w:rPr>
          <w:rFonts w:ascii="Arial" w:hAnsi="Arial" w:cs="Arial"/>
          <w:u w:val="single"/>
        </w:rPr>
      </w:pPr>
    </w:p>
    <w:p w14:paraId="2B812F10" w14:textId="0EE7BEA4" w:rsidR="00742FB9" w:rsidRPr="008D0295" w:rsidRDefault="00742FB9" w:rsidP="00742FB9">
      <w:pPr>
        <w:spacing w:line="240" w:lineRule="auto"/>
        <w:jc w:val="both"/>
        <w:rPr>
          <w:rFonts w:ascii="Arial" w:hAnsi="Arial" w:cs="Arial"/>
          <w:u w:val="single"/>
        </w:rPr>
      </w:pPr>
      <w:r w:rsidRPr="008D0295">
        <w:rPr>
          <w:rFonts w:ascii="Arial" w:hAnsi="Arial" w:cs="Arial"/>
          <w:u w:val="single"/>
        </w:rPr>
        <w:t>Patient Feedback</w:t>
      </w:r>
    </w:p>
    <w:p w14:paraId="54A6C177" w14:textId="7AFBF2C8" w:rsidR="00734EA6" w:rsidRDefault="00734EA6" w:rsidP="00734EA6">
      <w:pPr>
        <w:jc w:val="both"/>
      </w:pPr>
      <w:r w:rsidRPr="00734EA6">
        <w:rPr>
          <w:rFonts w:ascii="Arial" w:hAnsi="Arial" w:cs="Arial"/>
          <w:color w:val="000000"/>
        </w:rPr>
        <w:t>Recent patient feedback provided to DCHS regarding the service has been overwhelmingly positive. According to the Friends and Family survey results from July to September 2025, 30 out of 33 respondents rated the service as "very good," 3 rated it "good," and 1 indicated "very poor."</w:t>
      </w:r>
    </w:p>
    <w:p w14:paraId="50DEBB77" w14:textId="7704270C" w:rsidR="00824234" w:rsidRPr="008D0295" w:rsidRDefault="00995CBB" w:rsidP="00742FB9">
      <w:pPr>
        <w:rPr>
          <w:rFonts w:ascii="Arial" w:hAnsi="Arial" w:cs="Arial"/>
        </w:rPr>
      </w:pPr>
      <w:r w:rsidRPr="008D0295">
        <w:rPr>
          <w:rFonts w:ascii="Arial" w:hAnsi="Arial" w:cs="Arial"/>
        </w:rPr>
        <w:t xml:space="preserve">Below is a table detailing the common themes from the feedback received over this </w:t>
      </w:r>
      <w:proofErr w:type="gramStart"/>
      <w:r w:rsidRPr="008D0295">
        <w:rPr>
          <w:rFonts w:ascii="Arial" w:hAnsi="Arial" w:cs="Arial"/>
        </w:rPr>
        <w:t>time period</w:t>
      </w:r>
      <w:proofErr w:type="gramEnd"/>
      <w:r w:rsidR="00734EA6">
        <w:rPr>
          <w:rFonts w:ascii="Arial" w:hAnsi="Arial" w:cs="Arial"/>
        </w:rPr>
        <w:t>:</w:t>
      </w:r>
    </w:p>
    <w:tbl>
      <w:tblPr>
        <w:tblStyle w:val="TableGrid"/>
        <w:tblW w:w="0" w:type="auto"/>
        <w:tblLook w:val="04A0" w:firstRow="1" w:lastRow="0" w:firstColumn="1" w:lastColumn="0" w:noHBand="0" w:noVBand="1"/>
      </w:tblPr>
      <w:tblGrid>
        <w:gridCol w:w="4508"/>
        <w:gridCol w:w="4508"/>
      </w:tblGrid>
      <w:tr w:rsidR="00995CBB" w:rsidRPr="008D0295" w14:paraId="4E467DD0" w14:textId="77777777" w:rsidTr="00995CBB">
        <w:tc>
          <w:tcPr>
            <w:tcW w:w="4508" w:type="dxa"/>
          </w:tcPr>
          <w:p w14:paraId="75907DA5" w14:textId="6D37886B" w:rsidR="00995CBB" w:rsidRPr="008D0295" w:rsidRDefault="00995CBB" w:rsidP="00742FB9">
            <w:pPr>
              <w:rPr>
                <w:rFonts w:ascii="Arial" w:hAnsi="Arial" w:cs="Arial"/>
              </w:rPr>
            </w:pPr>
            <w:r w:rsidRPr="008D0295">
              <w:rPr>
                <w:rFonts w:ascii="Arial" w:hAnsi="Arial" w:cs="Arial"/>
              </w:rPr>
              <w:t>Theme</w:t>
            </w:r>
          </w:p>
        </w:tc>
        <w:tc>
          <w:tcPr>
            <w:tcW w:w="4508" w:type="dxa"/>
          </w:tcPr>
          <w:p w14:paraId="43311D86" w14:textId="2F6E7526" w:rsidR="00995CBB" w:rsidRPr="008D0295" w:rsidRDefault="00995CBB" w:rsidP="00742FB9">
            <w:pPr>
              <w:rPr>
                <w:rFonts w:ascii="Arial" w:hAnsi="Arial" w:cs="Arial"/>
              </w:rPr>
            </w:pPr>
            <w:r w:rsidRPr="008D0295">
              <w:rPr>
                <w:rFonts w:ascii="Arial" w:hAnsi="Arial" w:cs="Arial"/>
              </w:rPr>
              <w:t xml:space="preserve">Example Feedback </w:t>
            </w:r>
          </w:p>
        </w:tc>
      </w:tr>
      <w:tr w:rsidR="00995CBB" w:rsidRPr="008D0295" w14:paraId="3E96CA3B" w14:textId="77777777" w:rsidTr="00995CBB">
        <w:tc>
          <w:tcPr>
            <w:tcW w:w="4508" w:type="dxa"/>
          </w:tcPr>
          <w:p w14:paraId="01557021" w14:textId="38E53C14" w:rsidR="00995CBB" w:rsidRPr="008D0295" w:rsidRDefault="00995CBB" w:rsidP="00742FB9">
            <w:pPr>
              <w:rPr>
                <w:rFonts w:ascii="Arial" w:hAnsi="Arial" w:cs="Arial"/>
              </w:rPr>
            </w:pPr>
            <w:r w:rsidRPr="008D0295">
              <w:rPr>
                <w:rFonts w:ascii="Arial" w:hAnsi="Arial" w:cs="Arial"/>
              </w:rPr>
              <w:t>Feeling listened to</w:t>
            </w:r>
          </w:p>
        </w:tc>
        <w:tc>
          <w:tcPr>
            <w:tcW w:w="4508" w:type="dxa"/>
          </w:tcPr>
          <w:p w14:paraId="45BB541E" w14:textId="52BA5F7B" w:rsidR="00995CBB" w:rsidRPr="008D0295" w:rsidRDefault="00995CBB" w:rsidP="00742FB9">
            <w:pPr>
              <w:rPr>
                <w:rFonts w:ascii="Arial" w:hAnsi="Arial" w:cs="Arial"/>
              </w:rPr>
            </w:pPr>
            <w:r w:rsidRPr="008D0295">
              <w:rPr>
                <w:rFonts w:ascii="Arial" w:hAnsi="Arial" w:cs="Arial"/>
              </w:rPr>
              <w:t>“I felt listened to and supported to work out a plan together.”</w:t>
            </w:r>
          </w:p>
        </w:tc>
      </w:tr>
      <w:tr w:rsidR="00995CBB" w:rsidRPr="008D0295" w14:paraId="70CE1A7A" w14:textId="77777777" w:rsidTr="00995CBB">
        <w:tc>
          <w:tcPr>
            <w:tcW w:w="4508" w:type="dxa"/>
          </w:tcPr>
          <w:p w14:paraId="39D91BBD" w14:textId="79D31BCB" w:rsidR="00995CBB" w:rsidRPr="008D0295" w:rsidRDefault="00995CBB" w:rsidP="00742FB9">
            <w:pPr>
              <w:rPr>
                <w:rFonts w:ascii="Arial" w:hAnsi="Arial" w:cs="Arial"/>
              </w:rPr>
            </w:pPr>
            <w:r w:rsidRPr="008D0295">
              <w:rPr>
                <w:rFonts w:ascii="Arial" w:hAnsi="Arial" w:cs="Arial"/>
              </w:rPr>
              <w:t>Clear communication</w:t>
            </w:r>
          </w:p>
        </w:tc>
        <w:tc>
          <w:tcPr>
            <w:tcW w:w="4508" w:type="dxa"/>
          </w:tcPr>
          <w:p w14:paraId="590A077D" w14:textId="42C5CD93" w:rsidR="00995CBB" w:rsidRPr="008D0295" w:rsidRDefault="00995CBB" w:rsidP="00742FB9">
            <w:pPr>
              <w:rPr>
                <w:rFonts w:ascii="Arial" w:hAnsi="Arial" w:cs="Arial"/>
              </w:rPr>
            </w:pPr>
            <w:r w:rsidRPr="008D0295">
              <w:rPr>
                <w:rFonts w:ascii="Arial" w:hAnsi="Arial" w:cs="Arial"/>
              </w:rPr>
              <w:t>“Explained everything well… practical and helpful guidance.”</w:t>
            </w:r>
          </w:p>
        </w:tc>
      </w:tr>
      <w:tr w:rsidR="00995CBB" w:rsidRPr="008D0295" w14:paraId="2A349D1C" w14:textId="77777777" w:rsidTr="00995CBB">
        <w:tc>
          <w:tcPr>
            <w:tcW w:w="4508" w:type="dxa"/>
          </w:tcPr>
          <w:p w14:paraId="2DDAB2E2" w14:textId="2B65AB83" w:rsidR="00995CBB" w:rsidRPr="008D0295" w:rsidRDefault="00995CBB" w:rsidP="00742FB9">
            <w:pPr>
              <w:rPr>
                <w:rFonts w:ascii="Arial" w:hAnsi="Arial" w:cs="Arial"/>
              </w:rPr>
            </w:pPr>
            <w:r w:rsidRPr="008D0295">
              <w:rPr>
                <w:rFonts w:ascii="Arial" w:hAnsi="Arial" w:cs="Arial"/>
              </w:rPr>
              <w:t>Compassionate approach</w:t>
            </w:r>
          </w:p>
        </w:tc>
        <w:tc>
          <w:tcPr>
            <w:tcW w:w="4508" w:type="dxa"/>
          </w:tcPr>
          <w:p w14:paraId="3A0D459E" w14:textId="65BA7663" w:rsidR="00995CBB" w:rsidRPr="008D0295" w:rsidRDefault="00995CBB" w:rsidP="00742FB9">
            <w:pPr>
              <w:rPr>
                <w:rFonts w:ascii="Arial" w:hAnsi="Arial" w:cs="Arial"/>
              </w:rPr>
            </w:pPr>
            <w:r w:rsidRPr="008D0295">
              <w:rPr>
                <w:rFonts w:ascii="Arial" w:hAnsi="Arial" w:cs="Arial"/>
              </w:rPr>
              <w:t>“Gentle and kind approach… helped me explore the impact of long covid.”</w:t>
            </w:r>
          </w:p>
        </w:tc>
      </w:tr>
      <w:tr w:rsidR="00995CBB" w:rsidRPr="008D0295" w14:paraId="6CCB39F8" w14:textId="77777777" w:rsidTr="00995CBB">
        <w:tc>
          <w:tcPr>
            <w:tcW w:w="4508" w:type="dxa"/>
          </w:tcPr>
          <w:p w14:paraId="3F7C056D" w14:textId="1976B2A2" w:rsidR="00995CBB" w:rsidRPr="008D0295" w:rsidRDefault="00995CBB" w:rsidP="00742FB9">
            <w:pPr>
              <w:rPr>
                <w:rFonts w:ascii="Arial" w:hAnsi="Arial" w:cs="Arial"/>
              </w:rPr>
            </w:pPr>
            <w:r w:rsidRPr="008D0295">
              <w:rPr>
                <w:rFonts w:ascii="Arial" w:hAnsi="Arial" w:cs="Arial"/>
              </w:rPr>
              <w:t>Positive impact</w:t>
            </w:r>
          </w:p>
        </w:tc>
        <w:tc>
          <w:tcPr>
            <w:tcW w:w="4508" w:type="dxa"/>
          </w:tcPr>
          <w:p w14:paraId="13E900AA" w14:textId="2EEB6323" w:rsidR="00995CBB" w:rsidRPr="008D0295" w:rsidRDefault="00995CBB" w:rsidP="00742FB9">
            <w:pPr>
              <w:rPr>
                <w:rFonts w:ascii="Arial" w:hAnsi="Arial" w:cs="Arial"/>
              </w:rPr>
            </w:pPr>
            <w:r w:rsidRPr="008D0295">
              <w:rPr>
                <w:rFonts w:ascii="Arial" w:hAnsi="Arial" w:cs="Arial"/>
              </w:rPr>
              <w:t>“You’ve helped change my life.”</w:t>
            </w:r>
          </w:p>
        </w:tc>
      </w:tr>
      <w:tr w:rsidR="00995CBB" w:rsidRPr="008D0295" w14:paraId="7A9D403D" w14:textId="77777777" w:rsidTr="00995CBB">
        <w:tc>
          <w:tcPr>
            <w:tcW w:w="4508" w:type="dxa"/>
          </w:tcPr>
          <w:p w14:paraId="4B7BD27C" w14:textId="01B6C0BF" w:rsidR="00995CBB" w:rsidRPr="008D0295" w:rsidRDefault="00995CBB" w:rsidP="00742FB9">
            <w:pPr>
              <w:rPr>
                <w:rFonts w:ascii="Arial" w:hAnsi="Arial" w:cs="Arial"/>
              </w:rPr>
            </w:pPr>
            <w:r w:rsidRPr="008D0295">
              <w:rPr>
                <w:rFonts w:ascii="Arial" w:hAnsi="Arial" w:cs="Arial"/>
              </w:rPr>
              <w:t>Group work</w:t>
            </w:r>
          </w:p>
        </w:tc>
        <w:tc>
          <w:tcPr>
            <w:tcW w:w="4508" w:type="dxa"/>
          </w:tcPr>
          <w:p w14:paraId="6846AE65" w14:textId="1D9EC8ED" w:rsidR="00995CBB" w:rsidRPr="008D0295" w:rsidRDefault="00995CBB" w:rsidP="00742FB9">
            <w:pPr>
              <w:rPr>
                <w:rFonts w:ascii="Arial" w:hAnsi="Arial" w:cs="Arial"/>
              </w:rPr>
            </w:pPr>
            <w:r w:rsidRPr="008D0295">
              <w:rPr>
                <w:rFonts w:ascii="Arial" w:hAnsi="Arial" w:cs="Arial"/>
              </w:rPr>
              <w:t>“Group was starting to gel… opening up especially in smaller groups.”</w:t>
            </w:r>
          </w:p>
        </w:tc>
      </w:tr>
      <w:tr w:rsidR="00995CBB" w:rsidRPr="008D0295" w14:paraId="276657F7" w14:textId="77777777" w:rsidTr="00995CBB">
        <w:tc>
          <w:tcPr>
            <w:tcW w:w="4508" w:type="dxa"/>
          </w:tcPr>
          <w:p w14:paraId="4995788D" w14:textId="7168D51C" w:rsidR="00995CBB" w:rsidRPr="008D0295" w:rsidRDefault="00995CBB" w:rsidP="00742FB9">
            <w:pPr>
              <w:rPr>
                <w:rFonts w:ascii="Arial" w:hAnsi="Arial" w:cs="Arial"/>
              </w:rPr>
            </w:pPr>
            <w:r w:rsidRPr="008D0295">
              <w:rPr>
                <w:rFonts w:ascii="Arial" w:hAnsi="Arial" w:cs="Arial"/>
              </w:rPr>
              <w:lastRenderedPageBreak/>
              <w:t xml:space="preserve">Responsiveness </w:t>
            </w:r>
          </w:p>
        </w:tc>
        <w:tc>
          <w:tcPr>
            <w:tcW w:w="4508" w:type="dxa"/>
          </w:tcPr>
          <w:p w14:paraId="063E844E" w14:textId="4730236A" w:rsidR="00995CBB" w:rsidRPr="008D0295" w:rsidRDefault="00995CBB" w:rsidP="00742FB9">
            <w:pPr>
              <w:rPr>
                <w:rFonts w:ascii="Arial" w:hAnsi="Arial" w:cs="Arial"/>
              </w:rPr>
            </w:pPr>
            <w:r w:rsidRPr="008D0295">
              <w:rPr>
                <w:rFonts w:ascii="Arial" w:hAnsi="Arial" w:cs="Arial"/>
              </w:rPr>
              <w:t>“Phone calls were on time… informed in plenty of time.”</w:t>
            </w:r>
          </w:p>
        </w:tc>
      </w:tr>
      <w:tr w:rsidR="00995CBB" w:rsidRPr="008D0295" w14:paraId="0FC48662" w14:textId="77777777" w:rsidTr="00995CBB">
        <w:tc>
          <w:tcPr>
            <w:tcW w:w="4508" w:type="dxa"/>
          </w:tcPr>
          <w:p w14:paraId="36D01312" w14:textId="4BCCA53E" w:rsidR="00995CBB" w:rsidRPr="008D0295" w:rsidRDefault="00995CBB" w:rsidP="00742FB9">
            <w:pPr>
              <w:rPr>
                <w:rFonts w:ascii="Arial" w:hAnsi="Arial" w:cs="Arial"/>
              </w:rPr>
            </w:pPr>
            <w:r w:rsidRPr="008D0295">
              <w:rPr>
                <w:rFonts w:ascii="Arial" w:hAnsi="Arial" w:cs="Arial"/>
              </w:rPr>
              <w:t>More follow up needed</w:t>
            </w:r>
          </w:p>
        </w:tc>
        <w:tc>
          <w:tcPr>
            <w:tcW w:w="4508" w:type="dxa"/>
          </w:tcPr>
          <w:p w14:paraId="67785E3F" w14:textId="43AFF631" w:rsidR="00995CBB" w:rsidRPr="008D0295" w:rsidRDefault="00995CBB" w:rsidP="00742FB9">
            <w:pPr>
              <w:rPr>
                <w:rFonts w:ascii="Arial" w:hAnsi="Arial" w:cs="Arial"/>
              </w:rPr>
            </w:pPr>
            <w:r w:rsidRPr="008D0295">
              <w:rPr>
                <w:rFonts w:ascii="Arial" w:hAnsi="Arial" w:cs="Arial"/>
              </w:rPr>
              <w:t>“Need more follow-ups… seems to take months for each step.”</w:t>
            </w:r>
          </w:p>
        </w:tc>
      </w:tr>
      <w:tr w:rsidR="00995CBB" w:rsidRPr="008D0295" w14:paraId="0949E0BB" w14:textId="77777777" w:rsidTr="00995CBB">
        <w:tc>
          <w:tcPr>
            <w:tcW w:w="4508" w:type="dxa"/>
          </w:tcPr>
          <w:p w14:paraId="0DF3F21B" w14:textId="26ADBE11" w:rsidR="00995CBB" w:rsidRPr="008D0295" w:rsidRDefault="00995CBB" w:rsidP="00742FB9">
            <w:pPr>
              <w:rPr>
                <w:rFonts w:ascii="Arial" w:hAnsi="Arial" w:cs="Arial"/>
              </w:rPr>
            </w:pPr>
            <w:r w:rsidRPr="008D0295">
              <w:rPr>
                <w:rFonts w:ascii="Arial" w:hAnsi="Arial" w:cs="Arial"/>
              </w:rPr>
              <w:t>Appreciation</w:t>
            </w:r>
          </w:p>
        </w:tc>
        <w:tc>
          <w:tcPr>
            <w:tcW w:w="4508" w:type="dxa"/>
          </w:tcPr>
          <w:p w14:paraId="629BAD07" w14:textId="05B6041C" w:rsidR="00995CBB" w:rsidRPr="008D0295" w:rsidRDefault="00995CBB" w:rsidP="00742FB9">
            <w:pPr>
              <w:rPr>
                <w:rFonts w:ascii="Arial" w:hAnsi="Arial" w:cs="Arial"/>
              </w:rPr>
            </w:pPr>
            <w:r w:rsidRPr="008D0295">
              <w:rPr>
                <w:rFonts w:ascii="Arial" w:hAnsi="Arial" w:cs="Arial"/>
              </w:rPr>
              <w:t>“Thank you for all your help throughout my care program.”</w:t>
            </w:r>
          </w:p>
        </w:tc>
      </w:tr>
      <w:tr w:rsidR="00995CBB" w:rsidRPr="008D0295" w14:paraId="4C1C1BC0" w14:textId="77777777" w:rsidTr="00995CBB">
        <w:tc>
          <w:tcPr>
            <w:tcW w:w="4508" w:type="dxa"/>
          </w:tcPr>
          <w:p w14:paraId="338FF2E5" w14:textId="3D844C31" w:rsidR="00995CBB" w:rsidRPr="008D0295" w:rsidRDefault="00995CBB" w:rsidP="00742FB9">
            <w:pPr>
              <w:rPr>
                <w:rFonts w:ascii="Arial" w:hAnsi="Arial" w:cs="Arial"/>
              </w:rPr>
            </w:pPr>
            <w:r w:rsidRPr="008D0295">
              <w:rPr>
                <w:rFonts w:ascii="Arial" w:hAnsi="Arial" w:cs="Arial"/>
              </w:rPr>
              <w:t xml:space="preserve">Areas for improvement </w:t>
            </w:r>
          </w:p>
        </w:tc>
        <w:tc>
          <w:tcPr>
            <w:tcW w:w="4508" w:type="dxa"/>
          </w:tcPr>
          <w:p w14:paraId="34661ABA" w14:textId="154AFFAA" w:rsidR="00995CBB" w:rsidRPr="008D0295" w:rsidRDefault="00995CBB" w:rsidP="00742FB9">
            <w:pPr>
              <w:rPr>
                <w:rFonts w:ascii="Arial" w:hAnsi="Arial" w:cs="Arial"/>
              </w:rPr>
            </w:pPr>
            <w:r w:rsidRPr="008D0295">
              <w:rPr>
                <w:rFonts w:ascii="Arial" w:hAnsi="Arial" w:cs="Arial"/>
              </w:rPr>
              <w:t>“A clearer description of the service from entry to discharge criteria would be good.”</w:t>
            </w:r>
          </w:p>
        </w:tc>
      </w:tr>
    </w:tbl>
    <w:p w14:paraId="3A2DF7E7" w14:textId="77777777" w:rsidR="008D0295" w:rsidRDefault="008D0295" w:rsidP="00F4449E">
      <w:pPr>
        <w:jc w:val="both"/>
        <w:rPr>
          <w:rFonts w:ascii="Arial" w:hAnsi="Arial" w:cs="Arial"/>
          <w:color w:val="000000" w:themeColor="text1"/>
        </w:rPr>
      </w:pPr>
    </w:p>
    <w:p w14:paraId="335D1DCB" w14:textId="2FE51EF3" w:rsidR="00AD7893" w:rsidRPr="008D0295" w:rsidRDefault="004B075F" w:rsidP="00F4449E">
      <w:pPr>
        <w:jc w:val="both"/>
        <w:rPr>
          <w:rFonts w:ascii="Arial" w:hAnsi="Arial" w:cs="Arial"/>
          <w:color w:val="000000" w:themeColor="text1"/>
        </w:rPr>
      </w:pPr>
      <w:r>
        <w:rPr>
          <w:rFonts w:ascii="Arial" w:hAnsi="Arial" w:cs="Arial"/>
          <w:color w:val="000000" w:themeColor="text1"/>
        </w:rPr>
        <w:t>All</w:t>
      </w:r>
      <w:r w:rsidR="00AD7893" w:rsidRPr="008D0295">
        <w:rPr>
          <w:rFonts w:ascii="Arial" w:hAnsi="Arial" w:cs="Arial"/>
          <w:color w:val="000000" w:themeColor="text1"/>
        </w:rPr>
        <w:t xml:space="preserve"> existing sources of feedback </w:t>
      </w:r>
      <w:r>
        <w:rPr>
          <w:rFonts w:ascii="Arial" w:hAnsi="Arial" w:cs="Arial"/>
          <w:color w:val="000000" w:themeColor="text1"/>
        </w:rPr>
        <w:t xml:space="preserve">were </w:t>
      </w:r>
      <w:r w:rsidR="002E1F3E">
        <w:rPr>
          <w:rFonts w:ascii="Arial" w:hAnsi="Arial" w:cs="Arial"/>
          <w:color w:val="000000" w:themeColor="text1"/>
        </w:rPr>
        <w:t>considered,</w:t>
      </w:r>
      <w:r>
        <w:rPr>
          <w:rFonts w:ascii="Arial" w:hAnsi="Arial" w:cs="Arial"/>
          <w:color w:val="000000" w:themeColor="text1"/>
        </w:rPr>
        <w:t xml:space="preserve"> </w:t>
      </w:r>
      <w:r w:rsidR="00AD7893" w:rsidRPr="008D0295">
        <w:rPr>
          <w:rFonts w:ascii="Arial" w:hAnsi="Arial" w:cs="Arial"/>
          <w:color w:val="000000" w:themeColor="text1"/>
        </w:rPr>
        <w:t>and a range of stakeholders</w:t>
      </w:r>
      <w:r>
        <w:rPr>
          <w:rFonts w:ascii="Arial" w:hAnsi="Arial" w:cs="Arial"/>
          <w:color w:val="000000" w:themeColor="text1"/>
        </w:rPr>
        <w:t xml:space="preserve"> were contacted</w:t>
      </w:r>
      <w:r w:rsidR="00AD7893" w:rsidRPr="008D0295">
        <w:rPr>
          <w:rFonts w:ascii="Arial" w:hAnsi="Arial" w:cs="Arial"/>
          <w:color w:val="000000" w:themeColor="text1"/>
        </w:rPr>
        <w:t xml:space="preserve"> to gather any relevant information with regards to the Post (Long) Covid Service across Derby and Derbyshire. </w:t>
      </w:r>
    </w:p>
    <w:p w14:paraId="164CC17A" w14:textId="493E9182" w:rsidR="00AD7893" w:rsidRPr="008D0295" w:rsidRDefault="00AD7893" w:rsidP="00F4449E">
      <w:pPr>
        <w:jc w:val="both"/>
        <w:rPr>
          <w:rFonts w:ascii="Arial" w:hAnsi="Arial" w:cs="Arial"/>
          <w:color w:val="000000" w:themeColor="text1"/>
        </w:rPr>
      </w:pPr>
      <w:r w:rsidRPr="008D0295">
        <w:rPr>
          <w:rFonts w:ascii="Arial" w:hAnsi="Arial" w:cs="Arial"/>
          <w:color w:val="000000" w:themeColor="text1"/>
        </w:rPr>
        <w:t xml:space="preserve">The following sources below were all contacted, </w:t>
      </w:r>
      <w:r w:rsidR="009261E5" w:rsidRPr="008D0295">
        <w:rPr>
          <w:rFonts w:ascii="Arial" w:hAnsi="Arial" w:cs="Arial"/>
          <w:color w:val="000000" w:themeColor="text1"/>
        </w:rPr>
        <w:t xml:space="preserve">and any relevant feedback has been collated below. </w:t>
      </w:r>
    </w:p>
    <w:p w14:paraId="19A718CC" w14:textId="095453FD" w:rsidR="00AD7893" w:rsidRPr="008D0295" w:rsidRDefault="00AD7893" w:rsidP="007645CC">
      <w:pPr>
        <w:pStyle w:val="ListParagraph"/>
        <w:numPr>
          <w:ilvl w:val="0"/>
          <w:numId w:val="6"/>
        </w:numPr>
        <w:jc w:val="both"/>
        <w:rPr>
          <w:rFonts w:ascii="Arial" w:hAnsi="Arial" w:cs="Arial"/>
          <w:color w:val="000000" w:themeColor="text1"/>
        </w:rPr>
      </w:pPr>
      <w:r w:rsidRPr="008D0295">
        <w:rPr>
          <w:rFonts w:ascii="Arial" w:hAnsi="Arial" w:cs="Arial"/>
          <w:color w:val="000000" w:themeColor="text1"/>
        </w:rPr>
        <w:t>Integrated Care Board (ICB) – Patient Experience Team</w:t>
      </w:r>
      <w:r w:rsidR="00734EA6">
        <w:rPr>
          <w:rFonts w:ascii="Arial" w:hAnsi="Arial" w:cs="Arial"/>
          <w:color w:val="000000" w:themeColor="text1"/>
        </w:rPr>
        <w:t>.</w:t>
      </w:r>
      <w:r w:rsidRPr="008D0295">
        <w:rPr>
          <w:rFonts w:ascii="Arial" w:hAnsi="Arial" w:cs="Arial"/>
          <w:color w:val="000000" w:themeColor="text1"/>
        </w:rPr>
        <w:t xml:space="preserve"> </w:t>
      </w:r>
    </w:p>
    <w:p w14:paraId="5389A10B" w14:textId="5A5BA84C" w:rsidR="00AD7893" w:rsidRPr="008D0295" w:rsidRDefault="00AD7893" w:rsidP="007645CC">
      <w:pPr>
        <w:pStyle w:val="ListParagraph"/>
        <w:numPr>
          <w:ilvl w:val="0"/>
          <w:numId w:val="6"/>
        </w:numPr>
        <w:jc w:val="both"/>
        <w:rPr>
          <w:rFonts w:ascii="Arial" w:hAnsi="Arial" w:cs="Arial"/>
          <w:color w:val="000000" w:themeColor="text1"/>
        </w:rPr>
      </w:pPr>
      <w:r w:rsidRPr="008D0295">
        <w:rPr>
          <w:rFonts w:ascii="Arial" w:hAnsi="Arial" w:cs="Arial"/>
          <w:color w:val="000000" w:themeColor="text1"/>
        </w:rPr>
        <w:t>Joined Up Care Derbyshire (JUCD) Patient and Public Insight Library</w:t>
      </w:r>
      <w:r w:rsidR="00734EA6">
        <w:rPr>
          <w:rFonts w:ascii="Arial" w:hAnsi="Arial" w:cs="Arial"/>
          <w:color w:val="000000" w:themeColor="text1"/>
        </w:rPr>
        <w:t>.</w:t>
      </w:r>
      <w:r w:rsidRPr="008D0295">
        <w:rPr>
          <w:rFonts w:ascii="Arial" w:hAnsi="Arial" w:cs="Arial"/>
          <w:color w:val="000000" w:themeColor="text1"/>
        </w:rPr>
        <w:t xml:space="preserve"> </w:t>
      </w:r>
    </w:p>
    <w:p w14:paraId="61F41795" w14:textId="2DD3603D" w:rsidR="00AD7893" w:rsidRPr="008D0295" w:rsidRDefault="00AD7893" w:rsidP="007645CC">
      <w:pPr>
        <w:pStyle w:val="ListParagraph"/>
        <w:numPr>
          <w:ilvl w:val="0"/>
          <w:numId w:val="6"/>
        </w:numPr>
        <w:jc w:val="both"/>
        <w:rPr>
          <w:rFonts w:ascii="Arial" w:hAnsi="Arial" w:cs="Arial"/>
          <w:color w:val="000000" w:themeColor="text1"/>
        </w:rPr>
      </w:pPr>
      <w:r w:rsidRPr="008D0295">
        <w:rPr>
          <w:rFonts w:ascii="Arial" w:hAnsi="Arial" w:cs="Arial"/>
          <w:color w:val="000000" w:themeColor="text1"/>
        </w:rPr>
        <w:t>Healthwatch Derby and Derbyshire</w:t>
      </w:r>
      <w:r w:rsidR="00734EA6">
        <w:rPr>
          <w:rFonts w:ascii="Arial" w:hAnsi="Arial" w:cs="Arial"/>
          <w:color w:val="000000" w:themeColor="text1"/>
        </w:rPr>
        <w:t>.</w:t>
      </w:r>
    </w:p>
    <w:p w14:paraId="6C39A13E" w14:textId="211FC1D4" w:rsidR="00AD7893" w:rsidRPr="008D0295" w:rsidRDefault="00AD7893" w:rsidP="007645CC">
      <w:pPr>
        <w:pStyle w:val="ListParagraph"/>
        <w:numPr>
          <w:ilvl w:val="0"/>
          <w:numId w:val="6"/>
        </w:numPr>
        <w:jc w:val="both"/>
        <w:rPr>
          <w:rFonts w:ascii="Arial" w:hAnsi="Arial" w:cs="Arial"/>
          <w:color w:val="000000" w:themeColor="text1"/>
        </w:rPr>
      </w:pPr>
      <w:r w:rsidRPr="008D0295">
        <w:rPr>
          <w:rFonts w:ascii="Arial" w:hAnsi="Arial" w:cs="Arial"/>
          <w:color w:val="000000" w:themeColor="text1"/>
        </w:rPr>
        <w:t xml:space="preserve">Any previous engagement/consultations </w:t>
      </w:r>
      <w:r w:rsidR="00734EA6">
        <w:rPr>
          <w:rFonts w:ascii="Arial" w:hAnsi="Arial" w:cs="Arial"/>
          <w:color w:val="000000" w:themeColor="text1"/>
        </w:rPr>
        <w:t xml:space="preserve">(See section 5.2). </w:t>
      </w:r>
    </w:p>
    <w:p w14:paraId="31623EE0" w14:textId="77777777" w:rsidR="00CC3A03" w:rsidRPr="008D0295" w:rsidRDefault="00CC3A03" w:rsidP="00F4449E">
      <w:pPr>
        <w:pStyle w:val="ListParagraph"/>
        <w:spacing w:after="0" w:line="240" w:lineRule="auto"/>
        <w:ind w:left="1440"/>
        <w:jc w:val="both"/>
        <w:rPr>
          <w:rFonts w:ascii="Arial" w:hAnsi="Arial" w:cs="Arial"/>
        </w:rPr>
      </w:pPr>
    </w:p>
    <w:p w14:paraId="6C6F5729" w14:textId="77777777" w:rsidR="00CC3A03" w:rsidRPr="008D0295" w:rsidRDefault="00CC3A03" w:rsidP="00F4449E">
      <w:pPr>
        <w:spacing w:after="0" w:line="240" w:lineRule="auto"/>
        <w:jc w:val="both"/>
        <w:rPr>
          <w:rFonts w:ascii="Arial" w:hAnsi="Arial" w:cs="Arial"/>
          <w:b/>
          <w:bCs/>
        </w:rPr>
      </w:pPr>
    </w:p>
    <w:p w14:paraId="1F166585" w14:textId="14E493D1" w:rsidR="009261E5" w:rsidRPr="008D0295" w:rsidRDefault="009261E5" w:rsidP="00F4449E">
      <w:pPr>
        <w:spacing w:line="240" w:lineRule="auto"/>
        <w:jc w:val="both"/>
        <w:rPr>
          <w:rFonts w:ascii="Arial" w:hAnsi="Arial" w:cs="Arial"/>
          <w:u w:val="single"/>
        </w:rPr>
      </w:pPr>
      <w:r w:rsidRPr="008D0295">
        <w:rPr>
          <w:rFonts w:ascii="Arial" w:hAnsi="Arial" w:cs="Arial"/>
          <w:u w:val="single"/>
        </w:rPr>
        <w:t xml:space="preserve">Healthwatch Derbyshire </w:t>
      </w:r>
    </w:p>
    <w:p w14:paraId="6242308C" w14:textId="542B5E28" w:rsidR="00982CD3" w:rsidRPr="008D0295" w:rsidRDefault="00982CD3" w:rsidP="00982CD3">
      <w:pPr>
        <w:spacing w:line="240" w:lineRule="auto"/>
        <w:jc w:val="both"/>
        <w:rPr>
          <w:rFonts w:ascii="Arial" w:hAnsi="Arial" w:cs="Arial"/>
        </w:rPr>
      </w:pPr>
      <w:r w:rsidRPr="008D0295">
        <w:rPr>
          <w:rFonts w:ascii="Arial" w:hAnsi="Arial" w:cs="Arial"/>
        </w:rPr>
        <w:t>"The commentator praised the Post-C</w:t>
      </w:r>
      <w:r w:rsidR="00553E3A">
        <w:rPr>
          <w:rFonts w:ascii="Arial" w:hAnsi="Arial" w:cs="Arial"/>
        </w:rPr>
        <w:t>OVID</w:t>
      </w:r>
      <w:r w:rsidRPr="008D0295">
        <w:rPr>
          <w:rFonts w:ascii="Arial" w:hAnsi="Arial" w:cs="Arial"/>
        </w:rPr>
        <w:t xml:space="preserve"> Syndrome Assessment Clinic, highlighting how the hour-long initial consultation made their partner feel heard and holistically assessed. They expressed a wish that GPs would adopt a similar whole-person approach.</w:t>
      </w:r>
    </w:p>
    <w:p w14:paraId="01D8B694" w14:textId="64255B89" w:rsidR="007823D6" w:rsidRPr="008D0295" w:rsidRDefault="00982CD3" w:rsidP="00F4449E">
      <w:pPr>
        <w:spacing w:after="0" w:line="240" w:lineRule="auto"/>
        <w:jc w:val="both"/>
        <w:rPr>
          <w:rFonts w:ascii="Arial" w:hAnsi="Arial" w:cs="Arial"/>
          <w:color w:val="000000" w:themeColor="text1"/>
        </w:rPr>
      </w:pPr>
      <w:r w:rsidRPr="008D0295">
        <w:rPr>
          <w:rFonts w:ascii="Arial" w:hAnsi="Arial" w:cs="Arial"/>
        </w:rPr>
        <w:t>Their only criticism was the lack of support for carers. While their partner received excellent care and access to workshops and groups, they felt carers were left without guidance on managing complex needs or coping with grief for life before Covid. They now attend a Derbyshire Carers Association support group but would have appreciated earlier signposting from the clinic."</w:t>
      </w:r>
      <w:bookmarkStart w:id="18" w:name="_Hlk139628400"/>
    </w:p>
    <w:p w14:paraId="2C9C6BEA" w14:textId="77777777" w:rsidR="00F17A58" w:rsidRPr="008D0295" w:rsidRDefault="00F17A58" w:rsidP="00F4449E">
      <w:pPr>
        <w:spacing w:after="0" w:line="240" w:lineRule="auto"/>
        <w:jc w:val="both"/>
        <w:rPr>
          <w:rFonts w:ascii="Arial" w:hAnsi="Arial" w:cs="Arial"/>
          <w:color w:val="000000" w:themeColor="text1"/>
        </w:rPr>
      </w:pPr>
    </w:p>
    <w:p w14:paraId="7E209FD9" w14:textId="70AD1F95" w:rsidR="006D5284" w:rsidRPr="008D0295" w:rsidRDefault="00B93925" w:rsidP="008D0295">
      <w:pPr>
        <w:pStyle w:val="Heading1"/>
      </w:pPr>
      <w:bookmarkStart w:id="19" w:name="_Toc211436405"/>
      <w:bookmarkEnd w:id="18"/>
      <w:r w:rsidRPr="008D0295">
        <w:t>Section 3:</w:t>
      </w:r>
      <w:r w:rsidR="00CA28B6" w:rsidRPr="008D0295">
        <w:t xml:space="preserve"> Needs of the Population</w:t>
      </w:r>
      <w:bookmarkEnd w:id="19"/>
    </w:p>
    <w:p w14:paraId="5409D80F" w14:textId="77777777" w:rsidR="00C623E7" w:rsidRPr="008D0295" w:rsidRDefault="00C623E7" w:rsidP="00F4449E">
      <w:pPr>
        <w:spacing w:after="0"/>
        <w:jc w:val="both"/>
        <w:rPr>
          <w:rFonts w:ascii="Arial" w:hAnsi="Arial" w:cs="Arial"/>
        </w:rPr>
      </w:pPr>
    </w:p>
    <w:p w14:paraId="0EF7B331" w14:textId="52172287" w:rsidR="00CA28B6" w:rsidRDefault="00CA28B6" w:rsidP="008D0295">
      <w:pPr>
        <w:pStyle w:val="Heading2"/>
      </w:pPr>
      <w:bookmarkStart w:id="20" w:name="_Toc211436406"/>
      <w:r w:rsidRPr="008D0295">
        <w:t>3.1 Prevalence of ongoing symptoms following COVID-19 infection in the UK</w:t>
      </w:r>
      <w:bookmarkEnd w:id="20"/>
    </w:p>
    <w:p w14:paraId="77E3FCFA" w14:textId="77777777" w:rsidR="008D0295" w:rsidRPr="008D0295" w:rsidRDefault="008D0295" w:rsidP="008D0295"/>
    <w:p w14:paraId="4FA20B75" w14:textId="104738DE" w:rsidR="00CA28B6" w:rsidRPr="008D0295" w:rsidRDefault="00CA28B6" w:rsidP="00F4449E">
      <w:pPr>
        <w:pStyle w:val="Default"/>
        <w:jc w:val="both"/>
        <w:rPr>
          <w:sz w:val="22"/>
          <w:szCs w:val="22"/>
        </w:rPr>
      </w:pPr>
      <w:r w:rsidRPr="008D0295">
        <w:rPr>
          <w:sz w:val="22"/>
          <w:szCs w:val="22"/>
        </w:rPr>
        <w:t>The Office of National Statistics (ONS)</w:t>
      </w:r>
      <w:r w:rsidR="00C5641B" w:rsidRPr="008D0295">
        <w:rPr>
          <w:sz w:val="22"/>
          <w:szCs w:val="22"/>
        </w:rPr>
        <w:t xml:space="preserve"> collected data on self-reported </w:t>
      </w:r>
      <w:r w:rsidR="00CC1524" w:rsidRPr="008D0295">
        <w:rPr>
          <w:sz w:val="22"/>
          <w:szCs w:val="22"/>
        </w:rPr>
        <w:t>Post (L</w:t>
      </w:r>
      <w:r w:rsidR="00C5641B" w:rsidRPr="008D0295">
        <w:rPr>
          <w:sz w:val="22"/>
          <w:szCs w:val="22"/>
        </w:rPr>
        <w:t>ong</w:t>
      </w:r>
      <w:r w:rsidR="00CC1524" w:rsidRPr="008D0295">
        <w:rPr>
          <w:sz w:val="22"/>
          <w:szCs w:val="22"/>
        </w:rPr>
        <w:t>)</w:t>
      </w:r>
      <w:r w:rsidR="00C5641B" w:rsidRPr="008D0295">
        <w:rPr>
          <w:sz w:val="22"/>
          <w:szCs w:val="22"/>
        </w:rPr>
        <w:t xml:space="preserve"> COVID and associated activity limitation until March 2023. At that point an</w:t>
      </w:r>
      <w:r w:rsidRPr="008D0295">
        <w:rPr>
          <w:sz w:val="22"/>
          <w:szCs w:val="22"/>
        </w:rPr>
        <w:t xml:space="preserve"> estimate</w:t>
      </w:r>
      <w:r w:rsidR="00C5641B" w:rsidRPr="008D0295">
        <w:rPr>
          <w:sz w:val="22"/>
          <w:szCs w:val="22"/>
        </w:rPr>
        <w:t>d</w:t>
      </w:r>
      <w:r w:rsidRPr="008D0295">
        <w:rPr>
          <w:sz w:val="22"/>
          <w:szCs w:val="22"/>
        </w:rPr>
        <w:t xml:space="preserve"> </w:t>
      </w:r>
      <w:r w:rsidR="00C5641B" w:rsidRPr="008D0295">
        <w:rPr>
          <w:sz w:val="22"/>
          <w:szCs w:val="22"/>
        </w:rPr>
        <w:t>2.0</w:t>
      </w:r>
      <w:r w:rsidRPr="008D0295">
        <w:rPr>
          <w:sz w:val="22"/>
          <w:szCs w:val="22"/>
        </w:rPr>
        <w:t xml:space="preserve"> million people living in private households in the UK (</w:t>
      </w:r>
      <w:r w:rsidR="00C5641B" w:rsidRPr="008D0295">
        <w:rPr>
          <w:sz w:val="22"/>
          <w:szCs w:val="22"/>
        </w:rPr>
        <w:t>3.1</w:t>
      </w:r>
      <w:r w:rsidRPr="008D0295">
        <w:rPr>
          <w:sz w:val="22"/>
          <w:szCs w:val="22"/>
        </w:rPr>
        <w:t xml:space="preserve">% of the population) were experiencing self-reported </w:t>
      </w:r>
      <w:r w:rsidR="00CC1524" w:rsidRPr="008D0295">
        <w:rPr>
          <w:sz w:val="22"/>
          <w:szCs w:val="22"/>
        </w:rPr>
        <w:t>Post (L</w:t>
      </w:r>
      <w:r w:rsidRPr="008D0295">
        <w:rPr>
          <w:sz w:val="22"/>
          <w:szCs w:val="22"/>
        </w:rPr>
        <w:t>ong</w:t>
      </w:r>
      <w:r w:rsidR="00CC1524" w:rsidRPr="008D0295">
        <w:rPr>
          <w:sz w:val="22"/>
          <w:szCs w:val="22"/>
        </w:rPr>
        <w:t>)</w:t>
      </w:r>
      <w:r w:rsidRPr="008D0295">
        <w:rPr>
          <w:sz w:val="22"/>
          <w:szCs w:val="22"/>
        </w:rPr>
        <w:t xml:space="preserve"> COVID</w:t>
      </w:r>
      <w:r w:rsidR="00C5641B" w:rsidRPr="008D0295">
        <w:rPr>
          <w:sz w:val="22"/>
          <w:szCs w:val="22"/>
        </w:rPr>
        <w:t>.</w:t>
      </w:r>
    </w:p>
    <w:p w14:paraId="169E6B3C" w14:textId="77777777" w:rsidR="00CA28B6" w:rsidRPr="008D0295" w:rsidRDefault="00CA28B6" w:rsidP="00F4449E">
      <w:pPr>
        <w:pStyle w:val="Default"/>
        <w:jc w:val="both"/>
        <w:rPr>
          <w:sz w:val="22"/>
          <w:szCs w:val="22"/>
        </w:rPr>
      </w:pPr>
    </w:p>
    <w:p w14:paraId="5684AD92" w14:textId="3400EAF6" w:rsidR="00CA28B6" w:rsidRPr="008D0295" w:rsidRDefault="007C038E" w:rsidP="007C038E">
      <w:pPr>
        <w:jc w:val="both"/>
        <w:rPr>
          <w:rFonts w:ascii="Arial" w:hAnsi="Arial" w:cs="Arial"/>
        </w:rPr>
      </w:pPr>
      <w:r w:rsidRPr="007C038E">
        <w:rPr>
          <w:rFonts w:ascii="Arial" w:hAnsi="Arial" w:cs="Arial"/>
          <w:color w:val="000000"/>
        </w:rPr>
        <w:t>Post (Long) COVID symptoms impacted the daily activities of 1.5 million individuals, representing 77% of those who self-reported Post (Long) COVID. Among them, 381,000 people (19%) indicated that their ability to carry out everyday tasks was “limited a lot.”</w:t>
      </w:r>
    </w:p>
    <w:p w14:paraId="3B038C89" w14:textId="77777777" w:rsidR="00CA28B6" w:rsidRPr="008D0295" w:rsidRDefault="00CA28B6" w:rsidP="00F4449E">
      <w:pPr>
        <w:pStyle w:val="Default"/>
        <w:jc w:val="both"/>
        <w:rPr>
          <w:sz w:val="22"/>
          <w:szCs w:val="22"/>
        </w:rPr>
      </w:pPr>
    </w:p>
    <w:p w14:paraId="12333D16" w14:textId="4C37A048" w:rsidR="00CA28B6" w:rsidRPr="008D0295" w:rsidRDefault="007C038E" w:rsidP="007C038E">
      <w:pPr>
        <w:jc w:val="both"/>
        <w:rPr>
          <w:rFonts w:ascii="Arial" w:hAnsi="Arial" w:cs="Arial"/>
        </w:rPr>
      </w:pPr>
      <w:r w:rsidRPr="007C038E">
        <w:rPr>
          <w:rFonts w:ascii="Arial" w:hAnsi="Arial" w:cs="Arial"/>
          <w:color w:val="000000"/>
        </w:rPr>
        <w:t>Fatigue was the most common Post (Long) COVID symptom (71%), followed by difficulty concentrating (52%), shortness of breath (48%), and muscle ache (47%).</w:t>
      </w:r>
    </w:p>
    <w:p w14:paraId="52BB3C40" w14:textId="77777777" w:rsidR="00CA28B6" w:rsidRPr="008D0295" w:rsidRDefault="00CA28B6" w:rsidP="00F4449E">
      <w:pPr>
        <w:pStyle w:val="Default"/>
        <w:jc w:val="both"/>
        <w:rPr>
          <w:sz w:val="22"/>
          <w:szCs w:val="22"/>
        </w:rPr>
      </w:pPr>
    </w:p>
    <w:p w14:paraId="7403331F" w14:textId="32FBF841" w:rsidR="00CA28B6" w:rsidRPr="008D0295" w:rsidRDefault="007C038E" w:rsidP="007C038E">
      <w:pPr>
        <w:jc w:val="both"/>
        <w:rPr>
          <w:rFonts w:ascii="Arial" w:hAnsi="Arial" w:cs="Arial"/>
        </w:rPr>
      </w:pPr>
      <w:r w:rsidRPr="007C038E">
        <w:rPr>
          <w:rFonts w:ascii="Arial" w:hAnsi="Arial" w:cs="Arial"/>
          <w:color w:val="000000"/>
        </w:rPr>
        <w:t xml:space="preserve">According to </w:t>
      </w:r>
      <w:r>
        <w:rPr>
          <w:rFonts w:ascii="Arial" w:hAnsi="Arial" w:cs="Arial"/>
          <w:color w:val="000000"/>
        </w:rPr>
        <w:t xml:space="preserve">the </w:t>
      </w:r>
      <w:r w:rsidRPr="007C038E">
        <w:rPr>
          <w:rFonts w:ascii="Arial" w:hAnsi="Arial" w:cs="Arial"/>
          <w:color w:val="000000"/>
        </w:rPr>
        <w:t xml:space="preserve">data, self-reported Post (Long) COVID was </w:t>
      </w:r>
      <w:proofErr w:type="gramStart"/>
      <w:r w:rsidRPr="007C038E">
        <w:rPr>
          <w:rFonts w:ascii="Arial" w:hAnsi="Arial" w:cs="Arial"/>
          <w:color w:val="000000"/>
        </w:rPr>
        <w:t>most commonly observed</w:t>
      </w:r>
      <w:proofErr w:type="gramEnd"/>
      <w:r w:rsidRPr="007C038E">
        <w:rPr>
          <w:rFonts w:ascii="Arial" w:hAnsi="Arial" w:cs="Arial"/>
          <w:color w:val="000000"/>
        </w:rPr>
        <w:t xml:space="preserve"> among individuals aged 35 to 69 years, females, residents of more deprived areas, people employed in social care, those aged 16 and over who were neither working nor seeking employment, and individuals with other activity-limiting health conditions or disabilities.</w:t>
      </w:r>
    </w:p>
    <w:p w14:paraId="76F34470" w14:textId="2E8EBECD" w:rsidR="00C5641B" w:rsidRDefault="00FD2FF9" w:rsidP="00FD2FF9">
      <w:r w:rsidRPr="00FD2FF9">
        <w:rPr>
          <w:rFonts w:ascii="Arial" w:hAnsi="Arial" w:cs="Arial"/>
          <w:color w:val="000000"/>
        </w:rPr>
        <w:t>While publicly available UK-specific data after March 2023 remains limited, both anecdotal evidence and clinical observations indicate a decline in the number of new Post (Long) COVID cases. This trend is likely attributable to several factors:</w:t>
      </w:r>
    </w:p>
    <w:p w14:paraId="6D956C54" w14:textId="64D3BAC1" w:rsidR="00C5641B" w:rsidRPr="008D0295" w:rsidRDefault="00C5641B" w:rsidP="007645CC">
      <w:pPr>
        <w:pStyle w:val="Default"/>
        <w:numPr>
          <w:ilvl w:val="0"/>
          <w:numId w:val="7"/>
        </w:numPr>
        <w:jc w:val="both"/>
        <w:rPr>
          <w:sz w:val="22"/>
          <w:szCs w:val="22"/>
        </w:rPr>
      </w:pPr>
      <w:r w:rsidRPr="008D0295">
        <w:rPr>
          <w:b/>
          <w:bCs/>
          <w:sz w:val="22"/>
          <w:szCs w:val="22"/>
        </w:rPr>
        <w:t>Widespread immunity</w:t>
      </w:r>
      <w:r w:rsidRPr="008D0295">
        <w:rPr>
          <w:sz w:val="22"/>
          <w:szCs w:val="22"/>
        </w:rPr>
        <w:t> (from vaccination and prior infection)</w:t>
      </w:r>
      <w:r w:rsidR="003220FE" w:rsidRPr="008D0295">
        <w:rPr>
          <w:rStyle w:val="FootnoteReference"/>
          <w:sz w:val="22"/>
          <w:szCs w:val="22"/>
        </w:rPr>
        <w:footnoteReference w:id="1"/>
      </w:r>
      <w:r w:rsidR="003220FE" w:rsidRPr="008D0295">
        <w:rPr>
          <w:sz w:val="22"/>
          <w:szCs w:val="22"/>
        </w:rPr>
        <w:t xml:space="preserve"> </w:t>
      </w:r>
    </w:p>
    <w:p w14:paraId="1869C53C" w14:textId="1EC80C16" w:rsidR="00C5641B" w:rsidRPr="008D0295" w:rsidRDefault="00C5641B" w:rsidP="007645CC">
      <w:pPr>
        <w:pStyle w:val="Default"/>
        <w:numPr>
          <w:ilvl w:val="0"/>
          <w:numId w:val="7"/>
        </w:numPr>
        <w:jc w:val="both"/>
        <w:rPr>
          <w:sz w:val="22"/>
          <w:szCs w:val="22"/>
        </w:rPr>
      </w:pPr>
      <w:r w:rsidRPr="008D0295">
        <w:rPr>
          <w:b/>
          <w:bCs/>
          <w:sz w:val="22"/>
          <w:szCs w:val="22"/>
        </w:rPr>
        <w:t>Milder variants</w:t>
      </w:r>
      <w:r w:rsidRPr="008D0295">
        <w:rPr>
          <w:sz w:val="22"/>
          <w:szCs w:val="22"/>
        </w:rPr>
        <w:t> (e.g. Omicron and its subvariants)</w:t>
      </w:r>
      <w:r w:rsidR="00D836C6" w:rsidRPr="008D0295">
        <w:rPr>
          <w:sz w:val="22"/>
          <w:szCs w:val="22"/>
        </w:rPr>
        <w:t xml:space="preserve"> </w:t>
      </w:r>
      <w:r w:rsidR="00D836C6" w:rsidRPr="008D0295">
        <w:rPr>
          <w:rStyle w:val="FootnoteReference"/>
          <w:sz w:val="22"/>
          <w:szCs w:val="22"/>
        </w:rPr>
        <w:footnoteReference w:id="2"/>
      </w:r>
    </w:p>
    <w:p w14:paraId="2CC045DF" w14:textId="77777777" w:rsidR="00C5641B" w:rsidRPr="008D0295" w:rsidRDefault="00C5641B" w:rsidP="007645CC">
      <w:pPr>
        <w:pStyle w:val="Default"/>
        <w:numPr>
          <w:ilvl w:val="0"/>
          <w:numId w:val="7"/>
        </w:numPr>
        <w:jc w:val="both"/>
        <w:rPr>
          <w:sz w:val="22"/>
          <w:szCs w:val="22"/>
        </w:rPr>
      </w:pPr>
      <w:r w:rsidRPr="008D0295">
        <w:rPr>
          <w:b/>
          <w:bCs/>
          <w:sz w:val="22"/>
          <w:szCs w:val="22"/>
        </w:rPr>
        <w:t>Improved treatment and awareness</w:t>
      </w:r>
    </w:p>
    <w:p w14:paraId="1C74B648" w14:textId="77777777" w:rsidR="00C5641B" w:rsidRPr="008D0295" w:rsidRDefault="00C5641B" w:rsidP="00F4449E">
      <w:pPr>
        <w:pStyle w:val="Default"/>
        <w:jc w:val="both"/>
        <w:rPr>
          <w:sz w:val="22"/>
          <w:szCs w:val="22"/>
        </w:rPr>
      </w:pPr>
    </w:p>
    <w:p w14:paraId="51FC22BB" w14:textId="14692561" w:rsidR="00655A0D" w:rsidRPr="008D0295" w:rsidRDefault="00655A0D" w:rsidP="007C038E">
      <w:pPr>
        <w:pStyle w:val="Default"/>
        <w:jc w:val="both"/>
        <w:rPr>
          <w:sz w:val="22"/>
          <w:szCs w:val="22"/>
        </w:rPr>
      </w:pPr>
      <w:bookmarkStart w:id="21" w:name="_Hlk138252171"/>
      <w:r w:rsidRPr="008D0295">
        <w:rPr>
          <w:sz w:val="22"/>
          <w:szCs w:val="22"/>
        </w:rPr>
        <w:t>From 1</w:t>
      </w:r>
      <w:r w:rsidR="00C2537C" w:rsidRPr="008D0295">
        <w:rPr>
          <w:sz w:val="22"/>
          <w:szCs w:val="22"/>
          <w:vertAlign w:val="superscript"/>
        </w:rPr>
        <w:t>st</w:t>
      </w:r>
      <w:r w:rsidR="00C2537C" w:rsidRPr="008D0295">
        <w:rPr>
          <w:sz w:val="22"/>
          <w:szCs w:val="22"/>
        </w:rPr>
        <w:t xml:space="preserve"> </w:t>
      </w:r>
      <w:r w:rsidRPr="008D0295">
        <w:rPr>
          <w:sz w:val="22"/>
          <w:szCs w:val="22"/>
        </w:rPr>
        <w:t xml:space="preserve">April 2022 free mass symptomatic and asymptomatic testing for the </w:t>
      </w:r>
      <w:r w:rsidR="00C2537C" w:rsidRPr="008D0295">
        <w:rPr>
          <w:sz w:val="22"/>
          <w:szCs w:val="22"/>
        </w:rPr>
        <w:t>public</w:t>
      </w:r>
      <w:r w:rsidRPr="008D0295">
        <w:rPr>
          <w:sz w:val="22"/>
          <w:szCs w:val="22"/>
        </w:rPr>
        <w:t xml:space="preserve"> ended. </w:t>
      </w:r>
    </w:p>
    <w:p w14:paraId="2B7297D5" w14:textId="0877761B" w:rsidR="00655A0D" w:rsidRPr="008D0295" w:rsidRDefault="00655A0D" w:rsidP="007C038E">
      <w:pPr>
        <w:pStyle w:val="Default"/>
        <w:jc w:val="both"/>
        <w:rPr>
          <w:sz w:val="22"/>
          <w:szCs w:val="22"/>
        </w:rPr>
      </w:pPr>
      <w:r w:rsidRPr="008D0295">
        <w:rPr>
          <w:sz w:val="22"/>
          <w:szCs w:val="22"/>
        </w:rPr>
        <w:t>People with C</w:t>
      </w:r>
      <w:r w:rsidR="00CC1524" w:rsidRPr="008D0295">
        <w:rPr>
          <w:sz w:val="22"/>
          <w:szCs w:val="22"/>
        </w:rPr>
        <w:t>OVID</w:t>
      </w:r>
      <w:r w:rsidRPr="008D0295">
        <w:rPr>
          <w:sz w:val="22"/>
          <w:szCs w:val="22"/>
        </w:rPr>
        <w:t xml:space="preserve"> symptoms were asked to exercise personal responsibility when deciding whether to stay at home. This change in guidance </w:t>
      </w:r>
      <w:r w:rsidR="00C2537C" w:rsidRPr="008D0295">
        <w:rPr>
          <w:sz w:val="22"/>
          <w:szCs w:val="22"/>
        </w:rPr>
        <w:t>restricts the ability to measure prevalence.</w:t>
      </w:r>
    </w:p>
    <w:p w14:paraId="1AEAB2E9" w14:textId="70614A6F" w:rsidR="00AD7893" w:rsidRPr="008D0295" w:rsidRDefault="00AD7893" w:rsidP="00F4449E">
      <w:pPr>
        <w:pStyle w:val="Default"/>
        <w:jc w:val="both"/>
        <w:rPr>
          <w:sz w:val="22"/>
          <w:szCs w:val="22"/>
        </w:rPr>
      </w:pPr>
    </w:p>
    <w:p w14:paraId="45678013" w14:textId="50A19915" w:rsidR="00361DAB" w:rsidRDefault="00A06E53" w:rsidP="008D0295">
      <w:pPr>
        <w:pStyle w:val="Heading2"/>
      </w:pPr>
      <w:bookmarkStart w:id="22" w:name="_Toc211436407"/>
      <w:bookmarkEnd w:id="21"/>
      <w:r w:rsidRPr="008D0295">
        <w:t xml:space="preserve">3.2 </w:t>
      </w:r>
      <w:r w:rsidR="00361DAB" w:rsidRPr="008D0295">
        <w:t>Health Inequalities</w:t>
      </w:r>
      <w:bookmarkEnd w:id="22"/>
      <w:r w:rsidR="00361DAB" w:rsidRPr="008D0295">
        <w:t xml:space="preserve"> </w:t>
      </w:r>
    </w:p>
    <w:p w14:paraId="165D026A" w14:textId="77777777" w:rsidR="008D0295" w:rsidRPr="008D0295" w:rsidRDefault="008D0295" w:rsidP="008D0295"/>
    <w:p w14:paraId="2EA93271" w14:textId="7B845C83" w:rsidR="00361DAB" w:rsidRPr="008D0295" w:rsidRDefault="00361DAB" w:rsidP="00F4449E">
      <w:pPr>
        <w:spacing w:line="240" w:lineRule="auto"/>
        <w:jc w:val="both"/>
        <w:rPr>
          <w:rFonts w:ascii="Arial" w:hAnsi="Arial" w:cs="Arial"/>
        </w:rPr>
      </w:pPr>
      <w:r w:rsidRPr="008D0295">
        <w:rPr>
          <w:rFonts w:ascii="Arial" w:hAnsi="Arial" w:cs="Arial"/>
        </w:rPr>
        <w:t xml:space="preserve">NHSE requested a plan from </w:t>
      </w:r>
      <w:r w:rsidR="00870C57" w:rsidRPr="008D0295">
        <w:rPr>
          <w:rFonts w:ascii="Arial" w:hAnsi="Arial" w:cs="Arial"/>
        </w:rPr>
        <w:t xml:space="preserve">every </w:t>
      </w:r>
      <w:r w:rsidRPr="008D0295">
        <w:rPr>
          <w:rFonts w:ascii="Arial" w:hAnsi="Arial" w:cs="Arial"/>
        </w:rPr>
        <w:t xml:space="preserve">Post </w:t>
      </w:r>
      <w:r w:rsidR="00CC1524" w:rsidRPr="008D0295">
        <w:rPr>
          <w:rFonts w:ascii="Arial" w:hAnsi="Arial" w:cs="Arial"/>
        </w:rPr>
        <w:t xml:space="preserve">(Long) </w:t>
      </w:r>
      <w:r w:rsidRPr="008D0295">
        <w:rPr>
          <w:rFonts w:ascii="Arial" w:hAnsi="Arial" w:cs="Arial"/>
        </w:rPr>
        <w:t>COVID Service across the count</w:t>
      </w:r>
      <w:r w:rsidR="0050128B">
        <w:rPr>
          <w:rFonts w:ascii="Arial" w:hAnsi="Arial" w:cs="Arial"/>
        </w:rPr>
        <w:t>r</w:t>
      </w:r>
      <w:r w:rsidRPr="008D0295">
        <w:rPr>
          <w:rFonts w:ascii="Arial" w:hAnsi="Arial" w:cs="Arial"/>
        </w:rPr>
        <w:t>y to demonstrate innovative ways of addressing health inequalities that are linked to service access and outcomes</w:t>
      </w:r>
      <w:r w:rsidR="00C47734" w:rsidRPr="008D0295">
        <w:rPr>
          <w:rFonts w:ascii="Arial" w:hAnsi="Arial" w:cs="Arial"/>
        </w:rPr>
        <w:t xml:space="preserve">. </w:t>
      </w:r>
    </w:p>
    <w:p w14:paraId="02AE3F08" w14:textId="7FFC0AD4" w:rsidR="00870C57" w:rsidRPr="008D0295" w:rsidRDefault="00553E3A" w:rsidP="000F1F34">
      <w:pPr>
        <w:spacing w:after="0" w:line="240" w:lineRule="auto"/>
        <w:jc w:val="both"/>
        <w:rPr>
          <w:rFonts w:ascii="Arial" w:hAnsi="Arial" w:cs="Arial"/>
        </w:rPr>
      </w:pPr>
      <w:r>
        <w:rPr>
          <w:rFonts w:ascii="Arial" w:hAnsi="Arial" w:cs="Arial"/>
          <w:color w:val="000000" w:themeColor="text1"/>
        </w:rPr>
        <w:t>In</w:t>
      </w:r>
      <w:r w:rsidR="00361DAB" w:rsidRPr="008D0295">
        <w:rPr>
          <w:rFonts w:ascii="Arial" w:hAnsi="Arial" w:cs="Arial"/>
          <w:color w:val="000000" w:themeColor="text1"/>
        </w:rPr>
        <w:t xml:space="preserve"> </w:t>
      </w:r>
      <w:r w:rsidR="007C038E">
        <w:rPr>
          <w:rFonts w:ascii="Arial" w:hAnsi="Arial" w:cs="Arial"/>
          <w:color w:val="000000" w:themeColor="text1"/>
        </w:rPr>
        <w:t>20</w:t>
      </w:r>
      <w:r w:rsidR="00361DAB" w:rsidRPr="008D0295">
        <w:rPr>
          <w:rFonts w:ascii="Arial" w:hAnsi="Arial" w:cs="Arial"/>
          <w:color w:val="000000" w:themeColor="text1"/>
        </w:rPr>
        <w:t xml:space="preserve">22/23 NHSE </w:t>
      </w:r>
      <w:r w:rsidR="004B075F">
        <w:rPr>
          <w:rFonts w:ascii="Arial" w:hAnsi="Arial" w:cs="Arial"/>
          <w:color w:val="000000" w:themeColor="text1"/>
        </w:rPr>
        <w:t xml:space="preserve">allocated a </w:t>
      </w:r>
      <w:r w:rsidR="002C1774" w:rsidRPr="008D0295">
        <w:rPr>
          <w:rFonts w:ascii="Arial" w:hAnsi="Arial" w:cs="Arial"/>
          <w:color w:val="000000" w:themeColor="text1"/>
        </w:rPr>
        <w:t xml:space="preserve">ringfenced </w:t>
      </w:r>
      <w:r w:rsidR="004B075F">
        <w:rPr>
          <w:rFonts w:ascii="Arial" w:hAnsi="Arial" w:cs="Arial"/>
          <w:color w:val="000000" w:themeColor="text1"/>
        </w:rPr>
        <w:t xml:space="preserve">amount </w:t>
      </w:r>
      <w:r w:rsidR="00361DAB" w:rsidRPr="008D0295">
        <w:rPr>
          <w:rFonts w:ascii="Arial" w:hAnsi="Arial" w:cs="Arial"/>
        </w:rPr>
        <w:t xml:space="preserve">for the ICB to develop innovative and new ways of addressing health inequalities linked to service access and outcomes. </w:t>
      </w:r>
      <w:r w:rsidR="00EB2E58" w:rsidRPr="008D0295">
        <w:rPr>
          <w:rFonts w:ascii="Arial" w:hAnsi="Arial" w:cs="Arial"/>
        </w:rPr>
        <w:t>The fu</w:t>
      </w:r>
      <w:r w:rsidR="00361DAB" w:rsidRPr="008D0295">
        <w:rPr>
          <w:rFonts w:ascii="Arial" w:hAnsi="Arial" w:cs="Arial"/>
        </w:rPr>
        <w:t xml:space="preserve">nding </w:t>
      </w:r>
      <w:r w:rsidR="007C038E">
        <w:rPr>
          <w:rFonts w:ascii="Arial" w:hAnsi="Arial" w:cs="Arial"/>
        </w:rPr>
        <w:t>was</w:t>
      </w:r>
      <w:r w:rsidR="00361DAB" w:rsidRPr="008D0295">
        <w:rPr>
          <w:rFonts w:ascii="Arial" w:hAnsi="Arial" w:cs="Arial"/>
        </w:rPr>
        <w:t xml:space="preserve"> </w:t>
      </w:r>
      <w:r w:rsidR="00C47734" w:rsidRPr="008D0295">
        <w:rPr>
          <w:rFonts w:ascii="Arial" w:hAnsi="Arial" w:cs="Arial"/>
        </w:rPr>
        <w:t>used</w:t>
      </w:r>
      <w:r w:rsidR="00361DAB" w:rsidRPr="008D0295">
        <w:rPr>
          <w:rFonts w:ascii="Arial" w:hAnsi="Arial" w:cs="Arial"/>
        </w:rPr>
        <w:t xml:space="preserve"> to strengthen the work of Covid Community Champions Networks and to extend the contract of the DCHS Research &amp; Implementation Officer to address health inequalities linked to service access and outcomes.</w:t>
      </w:r>
    </w:p>
    <w:p w14:paraId="381DD057" w14:textId="77777777" w:rsidR="00361DAB" w:rsidRPr="008D0295" w:rsidRDefault="00361DAB" w:rsidP="008C7BE9">
      <w:pPr>
        <w:spacing w:after="0" w:line="240" w:lineRule="auto"/>
        <w:jc w:val="both"/>
        <w:rPr>
          <w:rFonts w:ascii="Arial" w:hAnsi="Arial" w:cs="Arial"/>
        </w:rPr>
      </w:pPr>
    </w:p>
    <w:p w14:paraId="6ACE6B46" w14:textId="3F74D30B" w:rsidR="00361DAB" w:rsidRPr="008D0295" w:rsidRDefault="00361DAB" w:rsidP="008C7BE9">
      <w:pPr>
        <w:spacing w:line="240" w:lineRule="auto"/>
        <w:jc w:val="both"/>
        <w:rPr>
          <w:rFonts w:ascii="Arial" w:hAnsi="Arial" w:cs="Arial"/>
        </w:rPr>
      </w:pPr>
      <w:r w:rsidRPr="008D0295">
        <w:rPr>
          <w:rFonts w:ascii="Arial" w:hAnsi="Arial" w:cs="Arial"/>
        </w:rPr>
        <w:t xml:space="preserve">The work the Research and Implementation Officer </w:t>
      </w:r>
      <w:r w:rsidR="00DD122C" w:rsidRPr="008D0295">
        <w:rPr>
          <w:rFonts w:ascii="Arial" w:hAnsi="Arial" w:cs="Arial"/>
        </w:rPr>
        <w:t>completed</w:t>
      </w:r>
      <w:r w:rsidRPr="008D0295">
        <w:rPr>
          <w:rFonts w:ascii="Arial" w:hAnsi="Arial" w:cs="Arial"/>
        </w:rPr>
        <w:t xml:space="preserve"> links with existing ICB workstreams to address Health Inequalities and will continue to work with varying programmes already in place and below are some of the workstreams already in place:</w:t>
      </w:r>
    </w:p>
    <w:p w14:paraId="0BF65C30" w14:textId="77777777" w:rsidR="00361DAB" w:rsidRPr="008D0295" w:rsidRDefault="00361DAB" w:rsidP="008F323C">
      <w:pPr>
        <w:numPr>
          <w:ilvl w:val="0"/>
          <w:numId w:val="1"/>
        </w:numPr>
        <w:spacing w:after="0" w:line="240" w:lineRule="auto"/>
        <w:contextualSpacing/>
        <w:jc w:val="both"/>
        <w:rPr>
          <w:rFonts w:ascii="Arial" w:hAnsi="Arial" w:cs="Arial"/>
        </w:rPr>
      </w:pPr>
      <w:r w:rsidRPr="008D0295">
        <w:rPr>
          <w:rFonts w:ascii="Arial" w:hAnsi="Arial" w:cs="Arial"/>
        </w:rPr>
        <w:t xml:space="preserve">Tackling Neighbourhood Inequalities Primary Care Network (PCN) Direct Enhanced Service (DES)  </w:t>
      </w:r>
    </w:p>
    <w:p w14:paraId="053B4561" w14:textId="77777777" w:rsidR="00361DAB" w:rsidRPr="008D0295" w:rsidRDefault="00361DAB" w:rsidP="008F323C">
      <w:pPr>
        <w:numPr>
          <w:ilvl w:val="0"/>
          <w:numId w:val="1"/>
        </w:numPr>
        <w:spacing w:after="0" w:line="240" w:lineRule="auto"/>
        <w:contextualSpacing/>
        <w:jc w:val="both"/>
        <w:rPr>
          <w:rFonts w:ascii="Arial" w:hAnsi="Arial" w:cs="Arial"/>
        </w:rPr>
      </w:pPr>
      <w:r w:rsidRPr="008D0295">
        <w:rPr>
          <w:rFonts w:ascii="Arial" w:hAnsi="Arial" w:cs="Arial"/>
        </w:rPr>
        <w:t>Core20+5 Work Programme – Derby City (Derby Health Inequalities Partnership which is public health and Community Action Derby - for connectors to reach into communities)</w:t>
      </w:r>
    </w:p>
    <w:p w14:paraId="4DE14698" w14:textId="77777777" w:rsidR="00361DAB" w:rsidRPr="008D0295" w:rsidRDefault="00361DAB" w:rsidP="008F323C">
      <w:pPr>
        <w:numPr>
          <w:ilvl w:val="0"/>
          <w:numId w:val="1"/>
        </w:numPr>
        <w:spacing w:after="0" w:line="240" w:lineRule="auto"/>
        <w:contextualSpacing/>
        <w:jc w:val="both"/>
        <w:rPr>
          <w:rFonts w:ascii="Arial" w:hAnsi="Arial" w:cs="Arial"/>
        </w:rPr>
      </w:pPr>
      <w:r w:rsidRPr="008D0295">
        <w:rPr>
          <w:rFonts w:ascii="Arial" w:hAnsi="Arial" w:cs="Arial"/>
        </w:rPr>
        <w:t xml:space="preserve">Cancer Inequalities Work Programme </w:t>
      </w:r>
    </w:p>
    <w:p w14:paraId="565E2370" w14:textId="77777777" w:rsidR="00361DAB" w:rsidRPr="008D0295" w:rsidRDefault="00361DAB" w:rsidP="008F323C">
      <w:pPr>
        <w:numPr>
          <w:ilvl w:val="0"/>
          <w:numId w:val="1"/>
        </w:numPr>
        <w:spacing w:after="0" w:line="240" w:lineRule="auto"/>
        <w:contextualSpacing/>
        <w:jc w:val="both"/>
        <w:rPr>
          <w:rFonts w:ascii="Arial" w:hAnsi="Arial" w:cs="Arial"/>
        </w:rPr>
      </w:pPr>
      <w:r w:rsidRPr="008D0295">
        <w:rPr>
          <w:rFonts w:ascii="Arial" w:hAnsi="Arial" w:cs="Arial"/>
        </w:rPr>
        <w:t>Equality, Diversity, and Inclusion (EDI) collaborative</w:t>
      </w:r>
    </w:p>
    <w:p w14:paraId="748260F1" w14:textId="77777777" w:rsidR="00361DAB" w:rsidRPr="008D0295" w:rsidRDefault="00361DAB" w:rsidP="008F323C">
      <w:pPr>
        <w:numPr>
          <w:ilvl w:val="0"/>
          <w:numId w:val="1"/>
        </w:numPr>
        <w:spacing w:after="0" w:line="240" w:lineRule="auto"/>
        <w:contextualSpacing/>
        <w:jc w:val="both"/>
        <w:rPr>
          <w:rFonts w:ascii="Arial" w:hAnsi="Arial" w:cs="Arial"/>
        </w:rPr>
      </w:pPr>
      <w:r w:rsidRPr="008D0295">
        <w:rPr>
          <w:rFonts w:ascii="Arial" w:hAnsi="Arial" w:cs="Arial"/>
        </w:rPr>
        <w:t xml:space="preserve">Population Health Management Programme </w:t>
      </w:r>
    </w:p>
    <w:p w14:paraId="48CDF4E9" w14:textId="77777777" w:rsidR="00361DAB" w:rsidRPr="008D0295" w:rsidRDefault="00361DAB" w:rsidP="008F323C">
      <w:pPr>
        <w:numPr>
          <w:ilvl w:val="0"/>
          <w:numId w:val="1"/>
        </w:numPr>
        <w:spacing w:after="0" w:line="240" w:lineRule="auto"/>
        <w:contextualSpacing/>
        <w:jc w:val="both"/>
        <w:rPr>
          <w:rFonts w:ascii="Arial" w:hAnsi="Arial" w:cs="Arial"/>
        </w:rPr>
      </w:pPr>
      <w:r w:rsidRPr="008D0295">
        <w:rPr>
          <w:rFonts w:ascii="Arial" w:hAnsi="Arial" w:cs="Arial"/>
        </w:rPr>
        <w:t>Plus, other forums / programmes across the system linked to Health Inequalities programmes of work</w:t>
      </w:r>
    </w:p>
    <w:p w14:paraId="7EB378DF" w14:textId="77777777" w:rsidR="00DD122C" w:rsidRPr="008D0295" w:rsidRDefault="00DD122C" w:rsidP="00DD122C">
      <w:pPr>
        <w:spacing w:after="0" w:line="240" w:lineRule="auto"/>
        <w:contextualSpacing/>
        <w:jc w:val="both"/>
        <w:rPr>
          <w:rFonts w:ascii="Arial" w:hAnsi="Arial" w:cs="Arial"/>
        </w:rPr>
      </w:pPr>
    </w:p>
    <w:p w14:paraId="41500EEB" w14:textId="457125E6" w:rsidR="007B59FC" w:rsidRDefault="00DD122C" w:rsidP="007B59FC">
      <w:pPr>
        <w:spacing w:after="0" w:line="240" w:lineRule="auto"/>
        <w:contextualSpacing/>
        <w:jc w:val="both"/>
        <w:rPr>
          <w:rFonts w:ascii="Arial" w:hAnsi="Arial" w:cs="Arial"/>
          <w:color w:val="000000"/>
        </w:rPr>
      </w:pPr>
      <w:r w:rsidRPr="008D0295">
        <w:rPr>
          <w:rFonts w:ascii="Arial" w:hAnsi="Arial" w:cs="Arial"/>
        </w:rPr>
        <w:lastRenderedPageBreak/>
        <w:t xml:space="preserve">The report found that there was an underrepresentation of patients from </w:t>
      </w:r>
      <w:r w:rsidR="00D77F1B" w:rsidRPr="008D0295">
        <w:rPr>
          <w:rFonts w:ascii="Arial" w:hAnsi="Arial" w:cs="Arial"/>
        </w:rPr>
        <w:t xml:space="preserve">IMD </w:t>
      </w:r>
      <w:r w:rsidR="0068023B">
        <w:rPr>
          <w:rFonts w:ascii="Arial" w:hAnsi="Arial" w:cs="Arial"/>
        </w:rPr>
        <w:t>quintile areas</w:t>
      </w:r>
      <w:r w:rsidR="00D77F1B" w:rsidRPr="008D0295">
        <w:rPr>
          <w:rFonts w:ascii="Arial" w:hAnsi="Arial" w:cs="Arial"/>
        </w:rPr>
        <w:t xml:space="preserve"> 1 and 2, making up fewer than one in five referrals,</w:t>
      </w:r>
      <w:r w:rsidRPr="008D0295">
        <w:rPr>
          <w:rFonts w:ascii="Arial" w:hAnsi="Arial" w:cs="Arial"/>
        </w:rPr>
        <w:t xml:space="preserve"> despite national data showing higher self-reported </w:t>
      </w:r>
      <w:r w:rsidR="0050128B">
        <w:rPr>
          <w:rFonts w:ascii="Arial" w:hAnsi="Arial" w:cs="Arial"/>
        </w:rPr>
        <w:t>Post (L</w:t>
      </w:r>
      <w:r w:rsidRPr="008D0295">
        <w:rPr>
          <w:rFonts w:ascii="Arial" w:hAnsi="Arial" w:cs="Arial"/>
        </w:rPr>
        <w:t>ong</w:t>
      </w:r>
      <w:r w:rsidR="0050128B">
        <w:rPr>
          <w:rFonts w:ascii="Arial" w:hAnsi="Arial" w:cs="Arial"/>
        </w:rPr>
        <w:t>)</w:t>
      </w:r>
      <w:r w:rsidRPr="008D0295">
        <w:rPr>
          <w:rFonts w:ascii="Arial" w:hAnsi="Arial" w:cs="Arial"/>
        </w:rPr>
        <w:t xml:space="preserve"> COVID rates among people in deprived areas. </w:t>
      </w:r>
      <w:r w:rsidR="007B59FC" w:rsidRPr="007B59FC">
        <w:rPr>
          <w:rFonts w:ascii="Arial" w:hAnsi="Arial" w:cs="Arial"/>
          <w:color w:val="000000"/>
        </w:rPr>
        <w:t>Several possible barriers were identified, including reduced health literacy in certain regions impacting knowledge and comprehension of Post (Long) COVID, limited trust in healthcare, and the need for referrals to go through general practitioners. There is also symptom overlap, with Post (Long) COVID sometimes being confused with other conditions, particularly among individuals with learning disabilities.</w:t>
      </w:r>
      <w:r w:rsidR="007B59FC">
        <w:rPr>
          <w:rFonts w:ascii="Arial" w:hAnsi="Arial" w:cs="Arial"/>
          <w:color w:val="000000"/>
        </w:rPr>
        <w:t xml:space="preserve"> </w:t>
      </w:r>
    </w:p>
    <w:p w14:paraId="736FE6B5" w14:textId="77777777" w:rsidR="007B59FC" w:rsidRDefault="007B59FC" w:rsidP="007B59FC">
      <w:pPr>
        <w:spacing w:after="0" w:line="240" w:lineRule="auto"/>
        <w:contextualSpacing/>
        <w:jc w:val="both"/>
        <w:rPr>
          <w:rFonts w:ascii="Arial" w:hAnsi="Arial" w:cs="Arial"/>
          <w:color w:val="000000"/>
        </w:rPr>
      </w:pPr>
    </w:p>
    <w:p w14:paraId="5F361C42" w14:textId="4F9AF2BA" w:rsidR="00DD122C" w:rsidRPr="008D0295" w:rsidRDefault="00EC4831" w:rsidP="007B59FC">
      <w:pPr>
        <w:spacing w:after="0" w:line="240" w:lineRule="auto"/>
        <w:contextualSpacing/>
        <w:jc w:val="both"/>
        <w:rPr>
          <w:rFonts w:ascii="Arial" w:hAnsi="Arial" w:cs="Arial"/>
        </w:rPr>
      </w:pPr>
      <w:r w:rsidRPr="008D0295">
        <w:rPr>
          <w:rFonts w:ascii="Arial" w:hAnsi="Arial" w:cs="Arial"/>
        </w:rPr>
        <w:t xml:space="preserve">The full report is included in Appendix </w:t>
      </w:r>
      <w:r w:rsidR="00481DB8">
        <w:rPr>
          <w:rFonts w:ascii="Arial" w:hAnsi="Arial" w:cs="Arial"/>
        </w:rPr>
        <w:t>A</w:t>
      </w:r>
      <w:r w:rsidRPr="008D0295">
        <w:rPr>
          <w:rFonts w:ascii="Arial" w:hAnsi="Arial" w:cs="Arial"/>
        </w:rPr>
        <w:t xml:space="preserve">. </w:t>
      </w:r>
    </w:p>
    <w:p w14:paraId="62ED545C" w14:textId="77777777" w:rsidR="00DD122C" w:rsidRPr="008D0295" w:rsidRDefault="00DD122C" w:rsidP="00DD122C">
      <w:pPr>
        <w:spacing w:after="0" w:line="240" w:lineRule="auto"/>
        <w:contextualSpacing/>
        <w:jc w:val="both"/>
        <w:rPr>
          <w:rFonts w:ascii="Arial" w:hAnsi="Arial" w:cs="Arial"/>
        </w:rPr>
      </w:pPr>
    </w:p>
    <w:p w14:paraId="41CE550A" w14:textId="2A99B6C3" w:rsidR="00D91199" w:rsidRPr="008D0295" w:rsidRDefault="00D91199" w:rsidP="00DD122C">
      <w:pPr>
        <w:spacing w:after="0" w:line="240" w:lineRule="auto"/>
        <w:contextualSpacing/>
        <w:jc w:val="both"/>
        <w:rPr>
          <w:rFonts w:ascii="Arial" w:hAnsi="Arial" w:cs="Arial"/>
        </w:rPr>
      </w:pPr>
      <w:r w:rsidRPr="008D0295">
        <w:rPr>
          <w:rFonts w:ascii="Arial" w:hAnsi="Arial" w:cs="Arial"/>
        </w:rPr>
        <w:t xml:space="preserve">Below is a summary of the work that was carried out in response to this. </w:t>
      </w:r>
    </w:p>
    <w:p w14:paraId="677658E5" w14:textId="77777777" w:rsidR="00D91199" w:rsidRPr="008D0295" w:rsidRDefault="00D91199" w:rsidP="00DD122C">
      <w:pPr>
        <w:spacing w:after="0" w:line="240" w:lineRule="auto"/>
        <w:contextualSpacing/>
        <w:jc w:val="both"/>
        <w:rPr>
          <w:rFonts w:ascii="Arial" w:hAnsi="Arial" w:cs="Arial"/>
        </w:rPr>
      </w:pPr>
    </w:p>
    <w:p w14:paraId="237C082B" w14:textId="77777777" w:rsidR="00204746" w:rsidRPr="008D0295" w:rsidRDefault="00204746" w:rsidP="00204746">
      <w:pPr>
        <w:spacing w:after="0" w:line="240" w:lineRule="auto"/>
        <w:contextualSpacing/>
        <w:jc w:val="both"/>
        <w:rPr>
          <w:rFonts w:ascii="Arial" w:hAnsi="Arial" w:cs="Arial"/>
          <w:b/>
          <w:bCs/>
        </w:rPr>
      </w:pPr>
      <w:r w:rsidRPr="008D0295">
        <w:rPr>
          <w:rFonts w:ascii="Arial" w:hAnsi="Arial" w:cs="Arial"/>
          <w:b/>
          <w:bCs/>
        </w:rPr>
        <w:t>1. Community Engagement and Outreach</w:t>
      </w:r>
    </w:p>
    <w:p w14:paraId="68521E8E" w14:textId="6924F5AB" w:rsidR="00204746" w:rsidRPr="008D0295" w:rsidRDefault="00204746" w:rsidP="007645CC">
      <w:pPr>
        <w:numPr>
          <w:ilvl w:val="0"/>
          <w:numId w:val="22"/>
        </w:numPr>
        <w:spacing w:after="0" w:line="240" w:lineRule="auto"/>
        <w:contextualSpacing/>
        <w:jc w:val="both"/>
        <w:rPr>
          <w:rFonts w:ascii="Arial" w:hAnsi="Arial" w:cs="Arial"/>
        </w:rPr>
      </w:pPr>
      <w:r w:rsidRPr="008D0295">
        <w:rPr>
          <w:rFonts w:ascii="Arial" w:hAnsi="Arial" w:cs="Arial"/>
        </w:rPr>
        <w:t>Distributed translated</w:t>
      </w:r>
      <w:r w:rsidR="00D91199" w:rsidRPr="008D0295">
        <w:rPr>
          <w:rFonts w:ascii="Arial" w:hAnsi="Arial" w:cs="Arial"/>
        </w:rPr>
        <w:t xml:space="preserve"> Post (Long) COVID</w:t>
      </w:r>
      <w:r w:rsidRPr="008D0295">
        <w:rPr>
          <w:rFonts w:ascii="Arial" w:hAnsi="Arial" w:cs="Arial"/>
        </w:rPr>
        <w:t xml:space="preserve"> leaflets at:</w:t>
      </w:r>
    </w:p>
    <w:p w14:paraId="316B0B9F" w14:textId="77777777" w:rsidR="00204746" w:rsidRPr="008D0295" w:rsidRDefault="00204746" w:rsidP="007645CC">
      <w:pPr>
        <w:numPr>
          <w:ilvl w:val="1"/>
          <w:numId w:val="22"/>
        </w:numPr>
        <w:spacing w:after="0" w:line="240" w:lineRule="auto"/>
        <w:contextualSpacing/>
        <w:jc w:val="both"/>
        <w:rPr>
          <w:rFonts w:ascii="Arial" w:hAnsi="Arial" w:cs="Arial"/>
        </w:rPr>
      </w:pPr>
      <w:r w:rsidRPr="008D0295">
        <w:rPr>
          <w:rFonts w:ascii="Arial" w:hAnsi="Arial" w:cs="Arial"/>
        </w:rPr>
        <w:t>Health &amp; Wellbeing events (e.g. Sports Direct, Shirebrook)</w:t>
      </w:r>
    </w:p>
    <w:p w14:paraId="72A9AB06" w14:textId="77777777" w:rsidR="00204746" w:rsidRPr="008D0295" w:rsidRDefault="00204746" w:rsidP="007645CC">
      <w:pPr>
        <w:numPr>
          <w:ilvl w:val="1"/>
          <w:numId w:val="22"/>
        </w:numPr>
        <w:spacing w:after="0" w:line="240" w:lineRule="auto"/>
        <w:contextualSpacing/>
        <w:jc w:val="both"/>
        <w:rPr>
          <w:rFonts w:ascii="Arial" w:hAnsi="Arial" w:cs="Arial"/>
        </w:rPr>
      </w:pPr>
      <w:r w:rsidRPr="008D0295">
        <w:rPr>
          <w:rFonts w:ascii="Arial" w:hAnsi="Arial" w:cs="Arial"/>
        </w:rPr>
        <w:t>Derby City Refugee Week</w:t>
      </w:r>
    </w:p>
    <w:p w14:paraId="72130455" w14:textId="77777777" w:rsidR="00204746" w:rsidRPr="008D0295" w:rsidRDefault="00204746" w:rsidP="007645CC">
      <w:pPr>
        <w:numPr>
          <w:ilvl w:val="1"/>
          <w:numId w:val="22"/>
        </w:numPr>
        <w:spacing w:after="0" w:line="240" w:lineRule="auto"/>
        <w:contextualSpacing/>
        <w:jc w:val="both"/>
        <w:rPr>
          <w:rFonts w:ascii="Arial" w:hAnsi="Arial" w:cs="Arial"/>
        </w:rPr>
      </w:pPr>
      <w:r w:rsidRPr="008D0295">
        <w:rPr>
          <w:rFonts w:ascii="Arial" w:hAnsi="Arial" w:cs="Arial"/>
        </w:rPr>
        <w:t>Vaccination sites, BME forums, and local councils</w:t>
      </w:r>
    </w:p>
    <w:p w14:paraId="5E9A1428" w14:textId="77777777" w:rsidR="00204746" w:rsidRPr="008D0295" w:rsidRDefault="00204746" w:rsidP="007645CC">
      <w:pPr>
        <w:numPr>
          <w:ilvl w:val="0"/>
          <w:numId w:val="22"/>
        </w:numPr>
        <w:spacing w:after="0" w:line="240" w:lineRule="auto"/>
        <w:contextualSpacing/>
        <w:jc w:val="both"/>
        <w:rPr>
          <w:rFonts w:ascii="Arial" w:hAnsi="Arial" w:cs="Arial"/>
        </w:rPr>
      </w:pPr>
      <w:r w:rsidRPr="008D0295">
        <w:rPr>
          <w:rFonts w:ascii="Arial" w:hAnsi="Arial" w:cs="Arial"/>
        </w:rPr>
        <w:t>Engaged with community groups like the African Institute in Derby to deliver rehab programmes and raise awareness.</w:t>
      </w:r>
    </w:p>
    <w:p w14:paraId="5804364B" w14:textId="77777777" w:rsidR="00204746" w:rsidRPr="008D0295" w:rsidRDefault="00204746" w:rsidP="007645CC">
      <w:pPr>
        <w:numPr>
          <w:ilvl w:val="0"/>
          <w:numId w:val="22"/>
        </w:numPr>
        <w:spacing w:after="0" w:line="240" w:lineRule="auto"/>
        <w:contextualSpacing/>
        <w:jc w:val="both"/>
        <w:rPr>
          <w:rFonts w:ascii="Arial" w:hAnsi="Arial" w:cs="Arial"/>
        </w:rPr>
      </w:pPr>
      <w:r w:rsidRPr="008D0295">
        <w:rPr>
          <w:rFonts w:ascii="Arial" w:hAnsi="Arial" w:cs="Arial"/>
        </w:rPr>
        <w:t>Participated in Derbyshire Dialogue events to gather public feedback and raise service awareness.</w:t>
      </w:r>
    </w:p>
    <w:p w14:paraId="34A3CD70" w14:textId="77777777" w:rsidR="00204746" w:rsidRPr="008D0295" w:rsidRDefault="00204746" w:rsidP="00204746">
      <w:pPr>
        <w:spacing w:after="0" w:line="240" w:lineRule="auto"/>
        <w:contextualSpacing/>
        <w:jc w:val="both"/>
        <w:rPr>
          <w:rFonts w:ascii="Arial" w:hAnsi="Arial" w:cs="Arial"/>
          <w:b/>
          <w:bCs/>
        </w:rPr>
      </w:pPr>
      <w:r w:rsidRPr="008D0295">
        <w:rPr>
          <w:rFonts w:ascii="Arial" w:hAnsi="Arial" w:cs="Arial"/>
          <w:b/>
          <w:bCs/>
        </w:rPr>
        <w:t>2. Targeted Interventions</w:t>
      </w:r>
    </w:p>
    <w:p w14:paraId="0B0D14A3" w14:textId="77777777" w:rsidR="00204746" w:rsidRPr="008D0295" w:rsidRDefault="00204746" w:rsidP="007645CC">
      <w:pPr>
        <w:numPr>
          <w:ilvl w:val="0"/>
          <w:numId w:val="23"/>
        </w:numPr>
        <w:spacing w:after="0" w:line="240" w:lineRule="auto"/>
        <w:contextualSpacing/>
        <w:jc w:val="both"/>
        <w:rPr>
          <w:rFonts w:ascii="Arial" w:hAnsi="Arial" w:cs="Arial"/>
        </w:rPr>
      </w:pPr>
      <w:r w:rsidRPr="008D0295">
        <w:rPr>
          <w:rFonts w:ascii="Arial" w:hAnsi="Arial" w:cs="Arial"/>
        </w:rPr>
        <w:t xml:space="preserve">Focused outreach in areas with low referral rates (e.g. </w:t>
      </w:r>
      <w:proofErr w:type="gramStart"/>
      <w:r w:rsidRPr="008D0295">
        <w:rPr>
          <w:rFonts w:ascii="Arial" w:hAnsi="Arial" w:cs="Arial"/>
        </w:rPr>
        <w:t>North East</w:t>
      </w:r>
      <w:proofErr w:type="gramEnd"/>
      <w:r w:rsidRPr="008D0295">
        <w:rPr>
          <w:rFonts w:ascii="Arial" w:hAnsi="Arial" w:cs="Arial"/>
        </w:rPr>
        <w:t xml:space="preserve"> Derbyshire, Derbyshire Dales, High Peak).</w:t>
      </w:r>
    </w:p>
    <w:p w14:paraId="0FDD679E" w14:textId="0130B5E2" w:rsidR="00204746" w:rsidRPr="008D0295" w:rsidRDefault="00204746" w:rsidP="007645CC">
      <w:pPr>
        <w:numPr>
          <w:ilvl w:val="0"/>
          <w:numId w:val="23"/>
        </w:numPr>
        <w:spacing w:after="0" w:line="240" w:lineRule="auto"/>
        <w:contextualSpacing/>
        <w:jc w:val="both"/>
        <w:rPr>
          <w:rFonts w:ascii="Arial" w:hAnsi="Arial" w:cs="Arial"/>
        </w:rPr>
      </w:pPr>
      <w:r w:rsidRPr="008D0295">
        <w:rPr>
          <w:rFonts w:ascii="Arial" w:hAnsi="Arial" w:cs="Arial"/>
        </w:rPr>
        <w:t xml:space="preserve">Promoted </w:t>
      </w:r>
      <w:r w:rsidR="007B59FC">
        <w:rPr>
          <w:rFonts w:ascii="Arial" w:hAnsi="Arial" w:cs="Arial"/>
        </w:rPr>
        <w:t xml:space="preserve">Post (Long) COVID syndrome </w:t>
      </w:r>
      <w:r w:rsidRPr="008D0295">
        <w:rPr>
          <w:rFonts w:ascii="Arial" w:hAnsi="Arial" w:cs="Arial"/>
        </w:rPr>
        <w:t>awareness through Football Community Trusts to reach working-age men.</w:t>
      </w:r>
    </w:p>
    <w:p w14:paraId="3BDCC6EE" w14:textId="71B3A192" w:rsidR="00204746" w:rsidRPr="008D0295" w:rsidRDefault="00204746" w:rsidP="007645CC">
      <w:pPr>
        <w:numPr>
          <w:ilvl w:val="0"/>
          <w:numId w:val="23"/>
        </w:numPr>
        <w:spacing w:after="0" w:line="240" w:lineRule="auto"/>
        <w:contextualSpacing/>
        <w:jc w:val="both"/>
        <w:rPr>
          <w:rFonts w:ascii="Arial" w:hAnsi="Arial" w:cs="Arial"/>
        </w:rPr>
      </w:pPr>
      <w:r w:rsidRPr="008D0295">
        <w:rPr>
          <w:rFonts w:ascii="Arial" w:hAnsi="Arial" w:cs="Arial"/>
        </w:rPr>
        <w:t>Developed gender-based clinics to support women</w:t>
      </w:r>
      <w:r w:rsidR="007B59FC">
        <w:rPr>
          <w:rFonts w:ascii="Arial" w:hAnsi="Arial" w:cs="Arial"/>
        </w:rPr>
        <w:t xml:space="preserve"> from ethnic minority backgrounds</w:t>
      </w:r>
      <w:r w:rsidRPr="008D0295">
        <w:rPr>
          <w:rFonts w:ascii="Arial" w:hAnsi="Arial" w:cs="Arial"/>
        </w:rPr>
        <w:t>.</w:t>
      </w:r>
    </w:p>
    <w:p w14:paraId="1FC86A96" w14:textId="77777777" w:rsidR="00204746" w:rsidRPr="008D0295" w:rsidRDefault="00204746" w:rsidP="00204746">
      <w:pPr>
        <w:spacing w:after="0" w:line="240" w:lineRule="auto"/>
        <w:contextualSpacing/>
        <w:jc w:val="both"/>
        <w:rPr>
          <w:rFonts w:ascii="Arial" w:hAnsi="Arial" w:cs="Arial"/>
          <w:b/>
          <w:bCs/>
        </w:rPr>
      </w:pPr>
      <w:r w:rsidRPr="008D0295">
        <w:rPr>
          <w:rFonts w:ascii="Arial" w:hAnsi="Arial" w:cs="Arial"/>
          <w:b/>
          <w:bCs/>
        </w:rPr>
        <w:t>3. Health Literacy and Communication</w:t>
      </w:r>
    </w:p>
    <w:p w14:paraId="66ADB2F7" w14:textId="77777777" w:rsidR="00204746" w:rsidRPr="008D0295" w:rsidRDefault="00204746" w:rsidP="007645CC">
      <w:pPr>
        <w:numPr>
          <w:ilvl w:val="0"/>
          <w:numId w:val="24"/>
        </w:numPr>
        <w:spacing w:after="0" w:line="240" w:lineRule="auto"/>
        <w:contextualSpacing/>
        <w:jc w:val="both"/>
        <w:rPr>
          <w:rFonts w:ascii="Arial" w:hAnsi="Arial" w:cs="Arial"/>
        </w:rPr>
      </w:pPr>
      <w:r w:rsidRPr="008D0295">
        <w:rPr>
          <w:rFonts w:ascii="Arial" w:hAnsi="Arial" w:cs="Arial"/>
        </w:rPr>
        <w:t>Co-produced easy-read and illustrative leaflets to support people with learning disabilities and language barriers.</w:t>
      </w:r>
    </w:p>
    <w:p w14:paraId="30B78998" w14:textId="77777777" w:rsidR="00204746" w:rsidRPr="008D0295" w:rsidRDefault="00204746" w:rsidP="007645CC">
      <w:pPr>
        <w:numPr>
          <w:ilvl w:val="0"/>
          <w:numId w:val="24"/>
        </w:numPr>
        <w:spacing w:after="0" w:line="240" w:lineRule="auto"/>
        <w:contextualSpacing/>
        <w:jc w:val="both"/>
        <w:rPr>
          <w:rFonts w:ascii="Arial" w:hAnsi="Arial" w:cs="Arial"/>
        </w:rPr>
      </w:pPr>
      <w:r w:rsidRPr="008D0295">
        <w:rPr>
          <w:rFonts w:ascii="Arial" w:hAnsi="Arial" w:cs="Arial"/>
        </w:rPr>
        <w:t>Developed a patient journey video (with translations and sign language) to improve understanding of the service.</w:t>
      </w:r>
    </w:p>
    <w:p w14:paraId="0C265A39" w14:textId="77777777" w:rsidR="00204746" w:rsidRPr="008D0295" w:rsidRDefault="00204746" w:rsidP="00204746">
      <w:pPr>
        <w:spacing w:after="0" w:line="240" w:lineRule="auto"/>
        <w:contextualSpacing/>
        <w:jc w:val="both"/>
        <w:rPr>
          <w:rFonts w:ascii="Arial" w:hAnsi="Arial" w:cs="Arial"/>
          <w:b/>
          <w:bCs/>
        </w:rPr>
      </w:pPr>
      <w:r w:rsidRPr="008D0295">
        <w:rPr>
          <w:rFonts w:ascii="Arial" w:hAnsi="Arial" w:cs="Arial"/>
          <w:b/>
          <w:bCs/>
        </w:rPr>
        <w:t>4. Research &amp; Implementation Officer (RIO)</w:t>
      </w:r>
    </w:p>
    <w:p w14:paraId="365FF38E" w14:textId="77777777" w:rsidR="00204746" w:rsidRPr="008D0295" w:rsidRDefault="00204746" w:rsidP="007645CC">
      <w:pPr>
        <w:numPr>
          <w:ilvl w:val="0"/>
          <w:numId w:val="25"/>
        </w:numPr>
        <w:spacing w:after="0" w:line="240" w:lineRule="auto"/>
        <w:contextualSpacing/>
        <w:jc w:val="both"/>
        <w:rPr>
          <w:rFonts w:ascii="Arial" w:hAnsi="Arial" w:cs="Arial"/>
        </w:rPr>
      </w:pPr>
      <w:r w:rsidRPr="008D0295">
        <w:rPr>
          <w:rFonts w:ascii="Arial" w:hAnsi="Arial" w:cs="Arial"/>
        </w:rPr>
        <w:t>Conducted qualitative research with underrepresented communities.</w:t>
      </w:r>
    </w:p>
    <w:p w14:paraId="1A0F66EE" w14:textId="77777777" w:rsidR="00204746" w:rsidRPr="008D0295" w:rsidRDefault="00204746" w:rsidP="007645CC">
      <w:pPr>
        <w:numPr>
          <w:ilvl w:val="0"/>
          <w:numId w:val="25"/>
        </w:numPr>
        <w:spacing w:after="0" w:line="240" w:lineRule="auto"/>
        <w:contextualSpacing/>
        <w:jc w:val="both"/>
        <w:rPr>
          <w:rFonts w:ascii="Arial" w:hAnsi="Arial" w:cs="Arial"/>
        </w:rPr>
      </w:pPr>
      <w:r w:rsidRPr="008D0295">
        <w:rPr>
          <w:rFonts w:ascii="Arial" w:hAnsi="Arial" w:cs="Arial"/>
        </w:rPr>
        <w:t>Reviewed best practices and literature to inform interventions.</w:t>
      </w:r>
    </w:p>
    <w:p w14:paraId="5BEC71DB" w14:textId="77777777" w:rsidR="00204746" w:rsidRPr="008D0295" w:rsidRDefault="00204746" w:rsidP="007645CC">
      <w:pPr>
        <w:numPr>
          <w:ilvl w:val="0"/>
          <w:numId w:val="25"/>
        </w:numPr>
        <w:spacing w:after="0" w:line="240" w:lineRule="auto"/>
        <w:contextualSpacing/>
        <w:jc w:val="both"/>
        <w:rPr>
          <w:rFonts w:ascii="Arial" w:hAnsi="Arial" w:cs="Arial"/>
        </w:rPr>
      </w:pPr>
      <w:r w:rsidRPr="008D0295">
        <w:rPr>
          <w:rFonts w:ascii="Arial" w:hAnsi="Arial" w:cs="Arial"/>
        </w:rPr>
        <w:t>Led co-production of interventions with patients, staff, and community leaders.</w:t>
      </w:r>
    </w:p>
    <w:p w14:paraId="18D8BDA5" w14:textId="77777777" w:rsidR="00204746" w:rsidRPr="008D0295" w:rsidRDefault="00204746" w:rsidP="007645CC">
      <w:pPr>
        <w:numPr>
          <w:ilvl w:val="0"/>
          <w:numId w:val="25"/>
        </w:numPr>
        <w:spacing w:after="0" w:line="240" w:lineRule="auto"/>
        <w:contextualSpacing/>
        <w:jc w:val="both"/>
        <w:rPr>
          <w:rFonts w:ascii="Arial" w:hAnsi="Arial" w:cs="Arial"/>
        </w:rPr>
      </w:pPr>
      <w:r w:rsidRPr="008D0295">
        <w:rPr>
          <w:rFonts w:ascii="Arial" w:hAnsi="Arial" w:cs="Arial"/>
        </w:rPr>
        <w:t>Supported implementation and evaluation of interventions to improve access and outcomes.</w:t>
      </w:r>
    </w:p>
    <w:p w14:paraId="08C9A293" w14:textId="77777777" w:rsidR="00204746" w:rsidRPr="008D0295" w:rsidRDefault="00204746" w:rsidP="00204746">
      <w:pPr>
        <w:spacing w:after="0" w:line="240" w:lineRule="auto"/>
        <w:contextualSpacing/>
        <w:jc w:val="both"/>
        <w:rPr>
          <w:rFonts w:ascii="Arial" w:hAnsi="Arial" w:cs="Arial"/>
          <w:b/>
          <w:bCs/>
        </w:rPr>
      </w:pPr>
      <w:r w:rsidRPr="008D0295">
        <w:rPr>
          <w:rFonts w:ascii="Arial" w:hAnsi="Arial" w:cs="Arial"/>
          <w:b/>
          <w:bCs/>
        </w:rPr>
        <w:t>6. Covid Community Champions Networks</w:t>
      </w:r>
    </w:p>
    <w:p w14:paraId="3A6E9780" w14:textId="77777777" w:rsidR="00204746" w:rsidRPr="008D0295" w:rsidRDefault="00204746" w:rsidP="007645CC">
      <w:pPr>
        <w:numPr>
          <w:ilvl w:val="0"/>
          <w:numId w:val="26"/>
        </w:numPr>
        <w:spacing w:after="0" w:line="240" w:lineRule="auto"/>
        <w:contextualSpacing/>
        <w:jc w:val="both"/>
        <w:rPr>
          <w:rFonts w:ascii="Arial" w:hAnsi="Arial" w:cs="Arial"/>
        </w:rPr>
      </w:pPr>
      <w:r w:rsidRPr="008D0295">
        <w:rPr>
          <w:rFonts w:ascii="Arial" w:hAnsi="Arial" w:cs="Arial"/>
        </w:rPr>
        <w:t>Strengthened and funded local champions to:</w:t>
      </w:r>
    </w:p>
    <w:p w14:paraId="3FB6E8E2" w14:textId="134A5EFE" w:rsidR="00204746" w:rsidRPr="008D0295" w:rsidRDefault="00204746" w:rsidP="007645CC">
      <w:pPr>
        <w:numPr>
          <w:ilvl w:val="1"/>
          <w:numId w:val="26"/>
        </w:numPr>
        <w:spacing w:after="0" w:line="240" w:lineRule="auto"/>
        <w:contextualSpacing/>
        <w:jc w:val="both"/>
        <w:rPr>
          <w:rFonts w:ascii="Arial" w:hAnsi="Arial" w:cs="Arial"/>
        </w:rPr>
      </w:pPr>
      <w:r w:rsidRPr="008D0295">
        <w:rPr>
          <w:rFonts w:ascii="Arial" w:hAnsi="Arial" w:cs="Arial"/>
        </w:rPr>
        <w:t>Disseminate information</w:t>
      </w:r>
      <w:r w:rsidR="007B59FC">
        <w:rPr>
          <w:rFonts w:ascii="Arial" w:hAnsi="Arial" w:cs="Arial"/>
        </w:rPr>
        <w:t>.</w:t>
      </w:r>
    </w:p>
    <w:p w14:paraId="671108B5" w14:textId="272B00FB" w:rsidR="00204746" w:rsidRPr="008D0295" w:rsidRDefault="00204746" w:rsidP="007645CC">
      <w:pPr>
        <w:numPr>
          <w:ilvl w:val="1"/>
          <w:numId w:val="26"/>
        </w:numPr>
        <w:spacing w:after="0" w:line="240" w:lineRule="auto"/>
        <w:contextualSpacing/>
        <w:jc w:val="both"/>
        <w:rPr>
          <w:rFonts w:ascii="Arial" w:hAnsi="Arial" w:cs="Arial"/>
        </w:rPr>
      </w:pPr>
      <w:r w:rsidRPr="008D0295">
        <w:rPr>
          <w:rFonts w:ascii="Arial" w:hAnsi="Arial" w:cs="Arial"/>
        </w:rPr>
        <w:t>Capture community intelligence</w:t>
      </w:r>
      <w:r w:rsidR="007B59FC">
        <w:rPr>
          <w:rFonts w:ascii="Arial" w:hAnsi="Arial" w:cs="Arial"/>
        </w:rPr>
        <w:t>.</w:t>
      </w:r>
    </w:p>
    <w:p w14:paraId="1387E318" w14:textId="37D15455" w:rsidR="00204746" w:rsidRPr="008D0295" w:rsidRDefault="00204746" w:rsidP="007645CC">
      <w:pPr>
        <w:numPr>
          <w:ilvl w:val="1"/>
          <w:numId w:val="26"/>
        </w:numPr>
        <w:spacing w:after="0" w:line="240" w:lineRule="auto"/>
        <w:contextualSpacing/>
        <w:jc w:val="both"/>
        <w:rPr>
          <w:rFonts w:ascii="Arial" w:hAnsi="Arial" w:cs="Arial"/>
        </w:rPr>
      </w:pPr>
      <w:r w:rsidRPr="008D0295">
        <w:rPr>
          <w:rFonts w:ascii="Arial" w:hAnsi="Arial" w:cs="Arial"/>
        </w:rPr>
        <w:t>Support outreach and engagement</w:t>
      </w:r>
      <w:r w:rsidR="007B59FC">
        <w:rPr>
          <w:rFonts w:ascii="Arial" w:hAnsi="Arial" w:cs="Arial"/>
        </w:rPr>
        <w:t>.</w:t>
      </w:r>
    </w:p>
    <w:p w14:paraId="5F1FD34D" w14:textId="77777777" w:rsidR="00204746" w:rsidRPr="008D0295" w:rsidRDefault="00204746" w:rsidP="00204746">
      <w:pPr>
        <w:spacing w:after="0" w:line="240" w:lineRule="auto"/>
        <w:contextualSpacing/>
        <w:jc w:val="both"/>
        <w:rPr>
          <w:rFonts w:ascii="Arial" w:hAnsi="Arial" w:cs="Arial"/>
          <w:b/>
          <w:bCs/>
        </w:rPr>
      </w:pPr>
      <w:r w:rsidRPr="008D0295">
        <w:rPr>
          <w:rFonts w:ascii="Arial" w:hAnsi="Arial" w:cs="Arial"/>
          <w:b/>
          <w:bCs/>
        </w:rPr>
        <w:t>7. Monitoring and Evaluation</w:t>
      </w:r>
    </w:p>
    <w:p w14:paraId="62FA2B07" w14:textId="24825876" w:rsidR="00204746" w:rsidRPr="008D0295" w:rsidRDefault="00204746" w:rsidP="007645CC">
      <w:pPr>
        <w:numPr>
          <w:ilvl w:val="0"/>
          <w:numId w:val="27"/>
        </w:numPr>
        <w:spacing w:after="0" w:line="240" w:lineRule="auto"/>
        <w:contextualSpacing/>
        <w:jc w:val="both"/>
        <w:rPr>
          <w:rFonts w:ascii="Arial" w:hAnsi="Arial" w:cs="Arial"/>
        </w:rPr>
      </w:pPr>
      <w:r w:rsidRPr="008D0295">
        <w:rPr>
          <w:rFonts w:ascii="Arial" w:hAnsi="Arial" w:cs="Arial"/>
        </w:rPr>
        <w:t>Developed a Health Inequalities Action Plan with K</w:t>
      </w:r>
      <w:r w:rsidR="00553E3A">
        <w:rPr>
          <w:rFonts w:ascii="Arial" w:hAnsi="Arial" w:cs="Arial"/>
        </w:rPr>
        <w:t xml:space="preserve">ey </w:t>
      </w:r>
      <w:r w:rsidRPr="008D0295">
        <w:rPr>
          <w:rFonts w:ascii="Arial" w:hAnsi="Arial" w:cs="Arial"/>
        </w:rPr>
        <w:t>P</w:t>
      </w:r>
      <w:r w:rsidR="00553E3A">
        <w:rPr>
          <w:rFonts w:ascii="Arial" w:hAnsi="Arial" w:cs="Arial"/>
        </w:rPr>
        <w:t xml:space="preserve">erformance </w:t>
      </w:r>
      <w:r w:rsidRPr="008D0295">
        <w:rPr>
          <w:rFonts w:ascii="Arial" w:hAnsi="Arial" w:cs="Arial"/>
        </w:rPr>
        <w:t>I</w:t>
      </w:r>
      <w:r w:rsidR="00553E3A">
        <w:rPr>
          <w:rFonts w:ascii="Arial" w:hAnsi="Arial" w:cs="Arial"/>
        </w:rPr>
        <w:t>ndicator</w:t>
      </w:r>
      <w:r w:rsidRPr="008D0295">
        <w:rPr>
          <w:rFonts w:ascii="Arial" w:hAnsi="Arial" w:cs="Arial"/>
        </w:rPr>
        <w:t>s.</w:t>
      </w:r>
    </w:p>
    <w:p w14:paraId="3251A7A0" w14:textId="77777777" w:rsidR="00204746" w:rsidRPr="008D0295" w:rsidRDefault="00204746" w:rsidP="007645CC">
      <w:pPr>
        <w:numPr>
          <w:ilvl w:val="0"/>
          <w:numId w:val="27"/>
        </w:numPr>
        <w:spacing w:after="0" w:line="240" w:lineRule="auto"/>
        <w:contextualSpacing/>
        <w:jc w:val="both"/>
        <w:rPr>
          <w:rFonts w:ascii="Arial" w:hAnsi="Arial" w:cs="Arial"/>
        </w:rPr>
      </w:pPr>
      <w:r w:rsidRPr="008D0295">
        <w:rPr>
          <w:rFonts w:ascii="Arial" w:hAnsi="Arial" w:cs="Arial"/>
        </w:rPr>
        <w:t>Monitored increased referrals from underrepresented groups.</w:t>
      </w:r>
    </w:p>
    <w:p w14:paraId="0198772D" w14:textId="3E77317E" w:rsidR="00204746" w:rsidRPr="008D0295" w:rsidRDefault="00204746" w:rsidP="007645CC">
      <w:pPr>
        <w:numPr>
          <w:ilvl w:val="0"/>
          <w:numId w:val="27"/>
        </w:numPr>
        <w:spacing w:after="0" w:line="240" w:lineRule="auto"/>
        <w:contextualSpacing/>
        <w:jc w:val="both"/>
        <w:rPr>
          <w:rFonts w:ascii="Arial" w:hAnsi="Arial" w:cs="Arial"/>
        </w:rPr>
      </w:pPr>
      <w:r w:rsidRPr="008D0295">
        <w:rPr>
          <w:rFonts w:ascii="Arial" w:hAnsi="Arial" w:cs="Arial"/>
        </w:rPr>
        <w:t xml:space="preserve">Embedded outcome measurement tools into </w:t>
      </w:r>
      <w:r w:rsidR="00553E3A">
        <w:rPr>
          <w:rFonts w:ascii="Arial" w:hAnsi="Arial" w:cs="Arial"/>
        </w:rPr>
        <w:t>Post (Long) COVID</w:t>
      </w:r>
      <w:r w:rsidRPr="008D0295">
        <w:rPr>
          <w:rFonts w:ascii="Arial" w:hAnsi="Arial" w:cs="Arial"/>
        </w:rPr>
        <w:t xml:space="preserve"> service.</w:t>
      </w:r>
    </w:p>
    <w:p w14:paraId="5120A8DA" w14:textId="5DBA3153" w:rsidR="00204746" w:rsidRPr="008D0295" w:rsidRDefault="00204746" w:rsidP="007645CC">
      <w:pPr>
        <w:numPr>
          <w:ilvl w:val="0"/>
          <w:numId w:val="27"/>
        </w:numPr>
        <w:spacing w:after="0" w:line="240" w:lineRule="auto"/>
        <w:contextualSpacing/>
        <w:jc w:val="both"/>
        <w:rPr>
          <w:rFonts w:ascii="Arial" w:hAnsi="Arial" w:cs="Arial"/>
        </w:rPr>
      </w:pPr>
      <w:r w:rsidRPr="008D0295">
        <w:rPr>
          <w:rFonts w:ascii="Arial" w:hAnsi="Arial" w:cs="Arial"/>
        </w:rPr>
        <w:t xml:space="preserve">Evaluated </w:t>
      </w:r>
      <w:r w:rsidR="00553E3A">
        <w:rPr>
          <w:rFonts w:ascii="Arial" w:hAnsi="Arial" w:cs="Arial"/>
        </w:rPr>
        <w:t>return on investment</w:t>
      </w:r>
      <w:r w:rsidRPr="008D0295">
        <w:rPr>
          <w:rFonts w:ascii="Arial" w:hAnsi="Arial" w:cs="Arial"/>
        </w:rPr>
        <w:t xml:space="preserve"> impact through supervision and appraisal.</w:t>
      </w:r>
    </w:p>
    <w:p w14:paraId="42F821CB" w14:textId="77777777" w:rsidR="00204746" w:rsidRPr="008D0295" w:rsidRDefault="00204746" w:rsidP="00DD122C">
      <w:pPr>
        <w:spacing w:after="0" w:line="240" w:lineRule="auto"/>
        <w:contextualSpacing/>
        <w:jc w:val="both"/>
        <w:rPr>
          <w:rFonts w:ascii="Arial" w:hAnsi="Arial" w:cs="Arial"/>
        </w:rPr>
      </w:pPr>
    </w:p>
    <w:p w14:paraId="2039761F" w14:textId="3D2BF88E" w:rsidR="00361DAB" w:rsidRDefault="00361DAB" w:rsidP="008C7BE9">
      <w:pPr>
        <w:spacing w:after="0" w:line="240" w:lineRule="auto"/>
        <w:contextualSpacing/>
        <w:jc w:val="both"/>
        <w:rPr>
          <w:rFonts w:ascii="Arial" w:hAnsi="Arial" w:cs="Arial"/>
        </w:rPr>
      </w:pPr>
    </w:p>
    <w:p w14:paraId="484AEB35" w14:textId="77777777" w:rsidR="007B59FC" w:rsidRDefault="007B59FC" w:rsidP="008C7BE9">
      <w:pPr>
        <w:spacing w:after="0" w:line="240" w:lineRule="auto"/>
        <w:contextualSpacing/>
        <w:jc w:val="both"/>
        <w:rPr>
          <w:rFonts w:ascii="Arial" w:hAnsi="Arial" w:cs="Arial"/>
        </w:rPr>
      </w:pPr>
    </w:p>
    <w:p w14:paraId="701A207D" w14:textId="77777777" w:rsidR="007B59FC" w:rsidRDefault="007B59FC" w:rsidP="008C7BE9">
      <w:pPr>
        <w:spacing w:after="0" w:line="240" w:lineRule="auto"/>
        <w:contextualSpacing/>
        <w:jc w:val="both"/>
        <w:rPr>
          <w:rFonts w:ascii="Arial" w:hAnsi="Arial" w:cs="Arial"/>
        </w:rPr>
      </w:pPr>
    </w:p>
    <w:p w14:paraId="5A31608A" w14:textId="77777777" w:rsidR="007B59FC" w:rsidRDefault="007B59FC" w:rsidP="008C7BE9">
      <w:pPr>
        <w:spacing w:after="0" w:line="240" w:lineRule="auto"/>
        <w:contextualSpacing/>
        <w:jc w:val="both"/>
        <w:rPr>
          <w:rFonts w:ascii="Arial" w:hAnsi="Arial" w:cs="Arial"/>
        </w:rPr>
      </w:pPr>
    </w:p>
    <w:p w14:paraId="55F1A2E9" w14:textId="77777777" w:rsidR="007B59FC" w:rsidRPr="008D0295" w:rsidRDefault="007B59FC" w:rsidP="008C7BE9">
      <w:pPr>
        <w:spacing w:after="0" w:line="240" w:lineRule="auto"/>
        <w:contextualSpacing/>
        <w:jc w:val="both"/>
        <w:rPr>
          <w:rFonts w:ascii="Arial" w:hAnsi="Arial" w:cs="Arial"/>
        </w:rPr>
      </w:pPr>
    </w:p>
    <w:p w14:paraId="10295C34" w14:textId="5CE90EC4" w:rsidR="00CF5DE1" w:rsidRDefault="00CF5DE1" w:rsidP="008C7BE9">
      <w:pPr>
        <w:spacing w:after="0" w:line="240" w:lineRule="auto"/>
        <w:contextualSpacing/>
        <w:jc w:val="both"/>
        <w:rPr>
          <w:rFonts w:ascii="Arial" w:hAnsi="Arial" w:cs="Arial"/>
        </w:rPr>
      </w:pPr>
      <w:r w:rsidRPr="008D0295">
        <w:rPr>
          <w:rFonts w:ascii="Arial" w:hAnsi="Arial" w:cs="Arial"/>
        </w:rPr>
        <w:lastRenderedPageBreak/>
        <w:t xml:space="preserve">DCHS </w:t>
      </w:r>
      <w:r w:rsidR="00D4792C" w:rsidRPr="008D0295">
        <w:rPr>
          <w:rFonts w:ascii="Arial" w:hAnsi="Arial" w:cs="Arial"/>
        </w:rPr>
        <w:t xml:space="preserve">monitor the demographic breakdown of the patients who are referred to the service. Below is a summary of the 51 referrals received between April and July 2025. </w:t>
      </w:r>
    </w:p>
    <w:p w14:paraId="78C4091E" w14:textId="77777777" w:rsidR="008D0295" w:rsidRDefault="008D0295" w:rsidP="008C7BE9">
      <w:pPr>
        <w:spacing w:after="0" w:line="240" w:lineRule="auto"/>
        <w:contextualSpacing/>
        <w:jc w:val="both"/>
        <w:rPr>
          <w:rFonts w:ascii="Arial" w:hAnsi="Arial" w:cs="Arial"/>
        </w:rPr>
      </w:pPr>
    </w:p>
    <w:p w14:paraId="5775572E" w14:textId="1133A09A" w:rsidR="00361DAB" w:rsidRPr="008D0295" w:rsidRDefault="00C848A7" w:rsidP="008C7BE9">
      <w:pPr>
        <w:spacing w:line="240" w:lineRule="auto"/>
        <w:jc w:val="both"/>
        <w:rPr>
          <w:rFonts w:ascii="Arial" w:hAnsi="Arial" w:cs="Arial"/>
          <w:u w:val="single"/>
        </w:rPr>
      </w:pPr>
      <w:r w:rsidRPr="008D0295">
        <w:rPr>
          <w:rFonts w:ascii="Arial" w:hAnsi="Arial" w:cs="Arial"/>
          <w:u w:val="single"/>
        </w:rPr>
        <w:t>Gender</w:t>
      </w:r>
      <w:r w:rsidR="00361DAB" w:rsidRPr="008D0295">
        <w:rPr>
          <w:rFonts w:ascii="Arial" w:hAnsi="Arial" w:cs="Arial"/>
          <w:u w:val="single"/>
        </w:rPr>
        <w:t xml:space="preserve"> </w:t>
      </w:r>
    </w:p>
    <w:p w14:paraId="61FA944A" w14:textId="4EC07035" w:rsidR="00436207" w:rsidRPr="008D0295" w:rsidRDefault="009E72FC" w:rsidP="008C7BE9">
      <w:pPr>
        <w:spacing w:line="240" w:lineRule="auto"/>
        <w:jc w:val="both"/>
        <w:rPr>
          <w:rFonts w:ascii="Arial" w:hAnsi="Arial" w:cs="Arial"/>
          <w:u w:val="single"/>
        </w:rPr>
      </w:pPr>
      <w:r w:rsidRPr="008D0295">
        <w:rPr>
          <w:rFonts w:ascii="Arial" w:hAnsi="Arial" w:cs="Arial"/>
          <w:noProof/>
        </w:rPr>
        <w:drawing>
          <wp:inline distT="0" distB="0" distL="0" distR="0" wp14:anchorId="4739B860" wp14:editId="198328CF">
            <wp:extent cx="3543300" cy="2000250"/>
            <wp:effectExtent l="0" t="0" r="0" b="0"/>
            <wp:docPr id="37006307" name="Chart 1">
              <a:extLst xmlns:a="http://schemas.openxmlformats.org/drawingml/2006/main">
                <a:ext uri="{FF2B5EF4-FFF2-40B4-BE49-F238E27FC236}">
                  <a16:creationId xmlns:a16="http://schemas.microsoft.com/office/drawing/2014/main" id="{7B231F35-F1F9-B032-C902-11FE35836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6D69AC" w14:textId="6517CD72" w:rsidR="00C848A7" w:rsidRPr="008D0295" w:rsidRDefault="00C848A7" w:rsidP="008C7BE9">
      <w:pPr>
        <w:spacing w:line="240" w:lineRule="auto"/>
        <w:jc w:val="both"/>
        <w:rPr>
          <w:rFonts w:ascii="Arial" w:hAnsi="Arial" w:cs="Arial"/>
          <w:u w:val="single"/>
        </w:rPr>
      </w:pPr>
      <w:r w:rsidRPr="008D0295">
        <w:rPr>
          <w:rFonts w:ascii="Arial" w:hAnsi="Arial" w:cs="Arial"/>
          <w:u w:val="single"/>
        </w:rPr>
        <w:t>Age</w:t>
      </w:r>
    </w:p>
    <w:p w14:paraId="4D788903" w14:textId="75F94F69" w:rsidR="00436207" w:rsidRPr="008D0295" w:rsidRDefault="009E72FC" w:rsidP="008C7BE9">
      <w:pPr>
        <w:spacing w:line="240" w:lineRule="auto"/>
        <w:jc w:val="both"/>
        <w:rPr>
          <w:rFonts w:ascii="Arial" w:hAnsi="Arial" w:cs="Arial"/>
          <w:u w:val="single"/>
        </w:rPr>
      </w:pPr>
      <w:r w:rsidRPr="008D0295">
        <w:rPr>
          <w:rFonts w:ascii="Arial" w:hAnsi="Arial" w:cs="Arial"/>
          <w:noProof/>
        </w:rPr>
        <w:drawing>
          <wp:inline distT="0" distB="0" distL="0" distR="0" wp14:anchorId="78685C9D" wp14:editId="22176982">
            <wp:extent cx="3543300" cy="2009775"/>
            <wp:effectExtent l="0" t="0" r="0" b="9525"/>
            <wp:docPr id="218821653" name="Chart 1">
              <a:extLst xmlns:a="http://schemas.openxmlformats.org/drawingml/2006/main">
                <a:ext uri="{FF2B5EF4-FFF2-40B4-BE49-F238E27FC236}">
                  <a16:creationId xmlns:a16="http://schemas.microsoft.com/office/drawing/2014/main" id="{0B9167A9-ADD0-4106-7542-773CC09201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DA97EB9" w14:textId="77777777" w:rsidR="008D0295" w:rsidRDefault="008D0295" w:rsidP="00436207">
      <w:pPr>
        <w:spacing w:line="240" w:lineRule="auto"/>
        <w:jc w:val="both"/>
        <w:rPr>
          <w:rFonts w:ascii="Arial" w:hAnsi="Arial" w:cs="Arial"/>
          <w:u w:val="single"/>
        </w:rPr>
      </w:pPr>
    </w:p>
    <w:p w14:paraId="3D21E2AD" w14:textId="47454DE4" w:rsidR="00436207" w:rsidRPr="008D0295" w:rsidRDefault="00CF5DE1" w:rsidP="00436207">
      <w:pPr>
        <w:spacing w:line="240" w:lineRule="auto"/>
        <w:jc w:val="both"/>
        <w:rPr>
          <w:rFonts w:ascii="Arial" w:hAnsi="Arial" w:cs="Arial"/>
          <w:color w:val="FF0000"/>
          <w:u w:val="single"/>
        </w:rPr>
      </w:pPr>
      <w:r w:rsidRPr="008D0295">
        <w:rPr>
          <w:rFonts w:ascii="Arial" w:hAnsi="Arial" w:cs="Arial"/>
          <w:u w:val="single"/>
        </w:rPr>
        <w:t>Ethnicity</w:t>
      </w:r>
    </w:p>
    <w:p w14:paraId="7055888C" w14:textId="3CCAEBF1" w:rsidR="00622A0D" w:rsidRPr="008D0295" w:rsidRDefault="009E72FC" w:rsidP="00436207">
      <w:pPr>
        <w:spacing w:line="240" w:lineRule="auto"/>
        <w:jc w:val="both"/>
        <w:rPr>
          <w:rFonts w:ascii="Arial" w:hAnsi="Arial" w:cs="Arial"/>
          <w:u w:val="single"/>
        </w:rPr>
      </w:pPr>
      <w:r w:rsidRPr="008D0295">
        <w:rPr>
          <w:rFonts w:ascii="Arial" w:hAnsi="Arial" w:cs="Arial"/>
          <w:noProof/>
        </w:rPr>
        <w:drawing>
          <wp:inline distT="0" distB="0" distL="0" distR="0" wp14:anchorId="4FCA4FCC" wp14:editId="194A10DB">
            <wp:extent cx="3448050" cy="2143125"/>
            <wp:effectExtent l="0" t="0" r="0" b="9525"/>
            <wp:docPr id="1452325388" name="Chart 1">
              <a:extLst xmlns:a="http://schemas.openxmlformats.org/drawingml/2006/main">
                <a:ext uri="{FF2B5EF4-FFF2-40B4-BE49-F238E27FC236}">
                  <a16:creationId xmlns:a16="http://schemas.microsoft.com/office/drawing/2014/main" id="{AEE07452-F99B-E9BD-607B-1800C0A30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540918" w:rsidRPr="008D0295">
        <w:rPr>
          <w:rFonts w:ascii="Arial" w:hAnsi="Arial" w:cs="Arial"/>
          <w:color w:val="FF0000"/>
          <w:u w:val="single"/>
        </w:rPr>
        <w:t xml:space="preserve"> </w:t>
      </w:r>
    </w:p>
    <w:p w14:paraId="36F298EE" w14:textId="77777777" w:rsidR="007B59FC" w:rsidRDefault="007B59FC" w:rsidP="008C7BE9">
      <w:pPr>
        <w:spacing w:after="0" w:line="240" w:lineRule="auto"/>
        <w:jc w:val="both"/>
        <w:rPr>
          <w:rFonts w:ascii="Arial" w:hAnsi="Arial" w:cs="Arial"/>
          <w:u w:val="single"/>
        </w:rPr>
      </w:pPr>
    </w:p>
    <w:p w14:paraId="5723FA95" w14:textId="77777777" w:rsidR="007B59FC" w:rsidRDefault="007B59FC" w:rsidP="008C7BE9">
      <w:pPr>
        <w:spacing w:after="0" w:line="240" w:lineRule="auto"/>
        <w:jc w:val="both"/>
        <w:rPr>
          <w:rFonts w:ascii="Arial" w:hAnsi="Arial" w:cs="Arial"/>
          <w:u w:val="single"/>
        </w:rPr>
      </w:pPr>
    </w:p>
    <w:p w14:paraId="3144B596" w14:textId="77777777" w:rsidR="007B59FC" w:rsidRDefault="007B59FC" w:rsidP="008C7BE9">
      <w:pPr>
        <w:spacing w:after="0" w:line="240" w:lineRule="auto"/>
        <w:jc w:val="both"/>
        <w:rPr>
          <w:rFonts w:ascii="Arial" w:hAnsi="Arial" w:cs="Arial"/>
          <w:u w:val="single"/>
        </w:rPr>
      </w:pPr>
    </w:p>
    <w:p w14:paraId="254E39D8" w14:textId="77777777" w:rsidR="007B59FC" w:rsidRDefault="007B59FC" w:rsidP="008C7BE9">
      <w:pPr>
        <w:spacing w:after="0" w:line="240" w:lineRule="auto"/>
        <w:jc w:val="both"/>
        <w:rPr>
          <w:rFonts w:ascii="Arial" w:hAnsi="Arial" w:cs="Arial"/>
          <w:u w:val="single"/>
        </w:rPr>
      </w:pPr>
    </w:p>
    <w:p w14:paraId="5937BF3A" w14:textId="450DCB5E" w:rsidR="00361DAB" w:rsidRPr="008D0295" w:rsidRDefault="00DB063A" w:rsidP="008C7BE9">
      <w:pPr>
        <w:spacing w:after="0" w:line="240" w:lineRule="auto"/>
        <w:jc w:val="both"/>
        <w:rPr>
          <w:rFonts w:ascii="Arial" w:hAnsi="Arial" w:cs="Arial"/>
          <w:u w:val="single"/>
        </w:rPr>
      </w:pPr>
      <w:r w:rsidRPr="008D0295">
        <w:rPr>
          <w:rFonts w:ascii="Arial" w:hAnsi="Arial" w:cs="Arial"/>
          <w:u w:val="single"/>
        </w:rPr>
        <w:lastRenderedPageBreak/>
        <w:t>Deprivation</w:t>
      </w:r>
    </w:p>
    <w:p w14:paraId="2DEB658A" w14:textId="77777777" w:rsidR="00540918" w:rsidRPr="008D0295" w:rsidRDefault="00540918" w:rsidP="008C7BE9">
      <w:pPr>
        <w:spacing w:after="0" w:line="240" w:lineRule="auto"/>
        <w:jc w:val="both"/>
        <w:rPr>
          <w:rFonts w:ascii="Arial" w:hAnsi="Arial" w:cs="Arial"/>
          <w:u w:val="single"/>
        </w:rPr>
      </w:pPr>
    </w:p>
    <w:p w14:paraId="66869BCF" w14:textId="72365E6E" w:rsidR="009E72FC" w:rsidRPr="008D0295" w:rsidRDefault="009E72FC" w:rsidP="008C7BE9">
      <w:pPr>
        <w:spacing w:after="0" w:line="240" w:lineRule="auto"/>
        <w:jc w:val="both"/>
        <w:rPr>
          <w:rFonts w:ascii="Arial" w:hAnsi="Arial" w:cs="Arial"/>
          <w:u w:val="single"/>
        </w:rPr>
      </w:pPr>
      <w:r w:rsidRPr="008D0295">
        <w:rPr>
          <w:rFonts w:ascii="Arial" w:hAnsi="Arial" w:cs="Arial"/>
          <w:noProof/>
        </w:rPr>
        <w:drawing>
          <wp:inline distT="0" distB="0" distL="0" distR="0" wp14:anchorId="2AD18AB6" wp14:editId="15F385DB">
            <wp:extent cx="3495675" cy="2181225"/>
            <wp:effectExtent l="0" t="0" r="9525" b="9525"/>
            <wp:docPr id="2050015106" name="Chart 1">
              <a:extLst xmlns:a="http://schemas.openxmlformats.org/drawingml/2006/main">
                <a:ext uri="{FF2B5EF4-FFF2-40B4-BE49-F238E27FC236}">
                  <a16:creationId xmlns:a16="http://schemas.microsoft.com/office/drawing/2014/main" id="{172A8971-2880-DB6A-788D-A0E31918B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406A64D" w14:textId="1DA3E4A5" w:rsidR="00DB063A" w:rsidRPr="008D0295" w:rsidRDefault="00DB063A" w:rsidP="008C7BE9">
      <w:pPr>
        <w:spacing w:after="0" w:line="240" w:lineRule="auto"/>
        <w:jc w:val="both"/>
        <w:rPr>
          <w:rFonts w:ascii="Arial" w:hAnsi="Arial" w:cs="Arial"/>
        </w:rPr>
      </w:pPr>
    </w:p>
    <w:p w14:paraId="29915CFC" w14:textId="48A8F66E" w:rsidR="00DB063A" w:rsidRPr="00AE5C09" w:rsidRDefault="00DB063A" w:rsidP="00AE5C09">
      <w:pPr>
        <w:spacing w:after="0" w:line="240" w:lineRule="auto"/>
        <w:jc w:val="both"/>
        <w:rPr>
          <w:rFonts w:ascii="Arial" w:hAnsi="Arial" w:cs="Arial"/>
        </w:rPr>
      </w:pPr>
    </w:p>
    <w:p w14:paraId="68E1A986" w14:textId="77777777" w:rsidR="00AE5C09" w:rsidRPr="00AE5C09" w:rsidRDefault="00AE5C09" w:rsidP="00AE5C09">
      <w:pPr>
        <w:jc w:val="both"/>
        <w:rPr>
          <w:rFonts w:ascii="Arial" w:hAnsi="Arial" w:cs="Arial"/>
          <w:color w:val="000000"/>
        </w:rPr>
      </w:pPr>
      <w:r w:rsidRPr="00AE5C09">
        <w:rPr>
          <w:rFonts w:ascii="Arial" w:hAnsi="Arial" w:cs="Arial"/>
          <w:color w:val="000000"/>
        </w:rPr>
        <w:t>The data above indicates that 67% of patients referred to Post (Long) COVID services between April and July 2025 were female.</w:t>
      </w:r>
    </w:p>
    <w:p w14:paraId="786BABF8" w14:textId="77777777" w:rsidR="00AE5C09" w:rsidRPr="00AE5C09" w:rsidRDefault="00AE5C09" w:rsidP="00AE5C09">
      <w:pPr>
        <w:jc w:val="both"/>
        <w:rPr>
          <w:rFonts w:ascii="Arial" w:hAnsi="Arial" w:cs="Arial"/>
          <w:color w:val="000000"/>
        </w:rPr>
      </w:pPr>
      <w:r w:rsidRPr="00AE5C09">
        <w:rPr>
          <w:rFonts w:ascii="Arial" w:hAnsi="Arial" w:cs="Arial"/>
          <w:color w:val="000000"/>
        </w:rPr>
        <w:t>Approximately two thirds of referrals were for individuals aged between 40 and 70, with fewer referrals observed among young adults.</w:t>
      </w:r>
    </w:p>
    <w:p w14:paraId="58C67D82" w14:textId="77777777" w:rsidR="00AE5C09" w:rsidRPr="00AE5C09" w:rsidRDefault="00AE5C09" w:rsidP="00AE5C09">
      <w:pPr>
        <w:jc w:val="both"/>
        <w:rPr>
          <w:rFonts w:ascii="Arial" w:hAnsi="Arial" w:cs="Arial"/>
          <w:color w:val="000000"/>
        </w:rPr>
      </w:pPr>
      <w:r w:rsidRPr="00AE5C09">
        <w:rPr>
          <w:rFonts w:ascii="Arial" w:hAnsi="Arial" w:cs="Arial"/>
          <w:color w:val="000000"/>
        </w:rPr>
        <w:t>Ethnicity data is incomplete, with one quarter recorded as unknown. For those whose ethnicity is recorded, 87% are identified as White British, compared to 80% across Derby and Derbyshire (source: RAIDR).</w:t>
      </w:r>
    </w:p>
    <w:p w14:paraId="4E9A8622" w14:textId="77777777" w:rsidR="00AE5C09" w:rsidRPr="00AE5C09" w:rsidRDefault="00AE5C09" w:rsidP="00AE5C09">
      <w:pPr>
        <w:jc w:val="both"/>
        <w:rPr>
          <w:rFonts w:ascii="Arial" w:hAnsi="Arial" w:cs="Arial"/>
          <w:color w:val="000000"/>
        </w:rPr>
      </w:pPr>
      <w:r w:rsidRPr="00AE5C09">
        <w:rPr>
          <w:rFonts w:ascii="Arial" w:hAnsi="Arial" w:cs="Arial"/>
          <w:color w:val="000000"/>
        </w:rPr>
        <w:t>32% of referrals are from the most deprived deciles (1-4), whereas these groups comprise 39% of the population according to RAIDR.</w:t>
      </w:r>
    </w:p>
    <w:p w14:paraId="337F8225" w14:textId="3C1ACC04" w:rsidR="00065822" w:rsidRPr="00AE5C09" w:rsidRDefault="00AE5C09" w:rsidP="00AE5C09">
      <w:pPr>
        <w:jc w:val="both"/>
        <w:rPr>
          <w:rFonts w:ascii="Arial" w:hAnsi="Arial" w:cs="Arial"/>
          <w:color w:val="000000"/>
        </w:rPr>
      </w:pPr>
      <w:r w:rsidRPr="00AE5C09">
        <w:rPr>
          <w:rFonts w:ascii="Arial" w:hAnsi="Arial" w:cs="Arial"/>
          <w:color w:val="000000"/>
        </w:rPr>
        <w:t>ONS data shows women are more likely than men to report Post (Long) COVID, with the highest prevalence in the 35 to 69 age range. Findings related to ethnicity vary but indicate similar or higher levels of Post (Long) COVID among minority ethnic groups, potentially due to increased infection rates and underlying health disparities. Individuals living in the most deprived areas also appear more likely to report Post (Long) COVID symptoms.</w:t>
      </w:r>
    </w:p>
    <w:p w14:paraId="0FC76851" w14:textId="4A473FCA" w:rsidR="00C07EE4" w:rsidRPr="008D0295" w:rsidRDefault="00C07EE4" w:rsidP="00AE5C09">
      <w:pPr>
        <w:jc w:val="both"/>
        <w:rPr>
          <w:rFonts w:ascii="Arial" w:hAnsi="Arial" w:cs="Arial"/>
        </w:rPr>
      </w:pPr>
      <w:r w:rsidRPr="008D0295">
        <w:rPr>
          <w:rFonts w:ascii="Arial" w:hAnsi="Arial" w:cs="Arial"/>
        </w:rPr>
        <w:t>The referral data</w:t>
      </w:r>
      <w:r w:rsidR="00AE5C09">
        <w:rPr>
          <w:rFonts w:ascii="Arial" w:hAnsi="Arial" w:cs="Arial"/>
        </w:rPr>
        <w:t>, therefore,</w:t>
      </w:r>
      <w:r w:rsidRPr="008D0295">
        <w:rPr>
          <w:rFonts w:ascii="Arial" w:hAnsi="Arial" w:cs="Arial"/>
        </w:rPr>
        <w:t xml:space="preserve"> reflects trends comparable to national patterns regarding age and gender; however, it potentially </w:t>
      </w:r>
      <w:r w:rsidR="00AE5C09">
        <w:rPr>
          <w:rFonts w:ascii="Arial" w:hAnsi="Arial" w:cs="Arial"/>
        </w:rPr>
        <w:t xml:space="preserve">indicates </w:t>
      </w:r>
      <w:r w:rsidRPr="008D0295">
        <w:rPr>
          <w:rFonts w:ascii="Arial" w:hAnsi="Arial" w:cs="Arial"/>
        </w:rPr>
        <w:t>disproportionately low rates among individuals from minority ethnic groups and those residing in more deprived areas.</w:t>
      </w:r>
    </w:p>
    <w:p w14:paraId="0E484A51" w14:textId="1767D652" w:rsidR="006C27CC" w:rsidRPr="008D0295" w:rsidRDefault="00B174BB" w:rsidP="008D0295">
      <w:pPr>
        <w:pStyle w:val="Heading1"/>
      </w:pPr>
      <w:bookmarkStart w:id="23" w:name="_Toc211436408"/>
      <w:r w:rsidRPr="008D0295">
        <w:t>Section 4: Key Challenges</w:t>
      </w:r>
      <w:bookmarkEnd w:id="23"/>
      <w:r w:rsidRPr="008D0295">
        <w:t xml:space="preserve"> </w:t>
      </w:r>
    </w:p>
    <w:p w14:paraId="181E2BA3" w14:textId="77777777" w:rsidR="00F71903" w:rsidRPr="008D0295" w:rsidRDefault="00F71903" w:rsidP="008C7BE9">
      <w:pPr>
        <w:spacing w:after="0" w:line="240" w:lineRule="auto"/>
        <w:jc w:val="both"/>
        <w:rPr>
          <w:rFonts w:ascii="Arial" w:hAnsi="Arial" w:cs="Arial"/>
          <w:color w:val="000000" w:themeColor="text1"/>
        </w:rPr>
      </w:pPr>
    </w:p>
    <w:p w14:paraId="20DF534D" w14:textId="3368E7B2" w:rsidR="006C27CC" w:rsidRPr="008D0295" w:rsidRDefault="006C27CC" w:rsidP="008D0295">
      <w:pPr>
        <w:pStyle w:val="Heading2"/>
      </w:pPr>
      <w:bookmarkStart w:id="24" w:name="_Toc211436409"/>
      <w:r w:rsidRPr="008D0295">
        <w:t>4.</w:t>
      </w:r>
      <w:r w:rsidR="00D66A1C" w:rsidRPr="008D0295">
        <w:t>1</w:t>
      </w:r>
      <w:r w:rsidRPr="008D0295">
        <w:t xml:space="preserve"> Reduction in </w:t>
      </w:r>
      <w:r w:rsidR="00C2537C" w:rsidRPr="008D0295">
        <w:t>r</w:t>
      </w:r>
      <w:r w:rsidRPr="008D0295">
        <w:t>eferrals</w:t>
      </w:r>
      <w:r w:rsidR="00C2537C" w:rsidRPr="008D0295">
        <w:t xml:space="preserve"> &amp; demand</w:t>
      </w:r>
      <w:bookmarkEnd w:id="24"/>
    </w:p>
    <w:p w14:paraId="34AC18B1" w14:textId="3A84C917" w:rsidR="00095E67" w:rsidRPr="008D0295" w:rsidRDefault="00095E67" w:rsidP="00095E67">
      <w:pPr>
        <w:rPr>
          <w:rFonts w:ascii="Arial" w:hAnsi="Arial" w:cs="Arial"/>
        </w:rPr>
      </w:pPr>
    </w:p>
    <w:p w14:paraId="5E034527" w14:textId="2AE0E9B6" w:rsidR="00095E67" w:rsidRPr="008D0295" w:rsidRDefault="00095E67" w:rsidP="008C7BE9">
      <w:pPr>
        <w:spacing w:line="240" w:lineRule="auto"/>
        <w:jc w:val="both"/>
        <w:rPr>
          <w:rFonts w:ascii="Arial" w:hAnsi="Arial" w:cs="Arial"/>
        </w:rPr>
      </w:pPr>
      <w:r w:rsidRPr="008D0295">
        <w:rPr>
          <w:rFonts w:ascii="Arial" w:hAnsi="Arial" w:cs="Arial"/>
        </w:rPr>
        <w:t>Regionally and nationally, referral rates steadily decreased</w:t>
      </w:r>
      <w:r w:rsidR="0068023B">
        <w:rPr>
          <w:rFonts w:ascii="Arial" w:hAnsi="Arial" w:cs="Arial"/>
        </w:rPr>
        <w:t>,</w:t>
      </w:r>
      <w:r w:rsidRPr="008D0295">
        <w:rPr>
          <w:rFonts w:ascii="Arial" w:hAnsi="Arial" w:cs="Arial"/>
        </w:rPr>
        <w:t xml:space="preserve"> until the data stopped being collated in February 2024. </w:t>
      </w:r>
    </w:p>
    <w:p w14:paraId="4D42AA4E" w14:textId="49CFDAF7" w:rsidR="00095E67" w:rsidRPr="008D0295" w:rsidRDefault="00095E67" w:rsidP="008C7BE9">
      <w:pPr>
        <w:spacing w:line="240" w:lineRule="auto"/>
        <w:jc w:val="both"/>
        <w:rPr>
          <w:rFonts w:ascii="Arial" w:hAnsi="Arial" w:cs="Arial"/>
        </w:rPr>
      </w:pPr>
      <w:r w:rsidRPr="008D0295">
        <w:rPr>
          <w:rFonts w:ascii="Arial" w:hAnsi="Arial" w:cs="Arial"/>
          <w:noProof/>
        </w:rPr>
        <w:lastRenderedPageBreak/>
        <w:drawing>
          <wp:inline distT="0" distB="0" distL="0" distR="0" wp14:anchorId="46101125" wp14:editId="00B1048C">
            <wp:extent cx="5731510" cy="3733800"/>
            <wp:effectExtent l="0" t="0" r="2540" b="0"/>
            <wp:docPr id="1924278810" name="Chart 1">
              <a:extLst xmlns:a="http://schemas.openxmlformats.org/drawingml/2006/main">
                <a:ext uri="{FF2B5EF4-FFF2-40B4-BE49-F238E27FC236}">
                  <a16:creationId xmlns:a16="http://schemas.microsoft.com/office/drawing/2014/main" id="{0C12B7DF-DA83-C9B1-E377-062AB8E40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2C8B9A" w14:textId="77777777" w:rsidR="00095E67" w:rsidRPr="008D0295" w:rsidRDefault="00095E67" w:rsidP="008C7BE9">
      <w:pPr>
        <w:spacing w:line="240" w:lineRule="auto"/>
        <w:jc w:val="both"/>
        <w:rPr>
          <w:rFonts w:ascii="Arial" w:hAnsi="Arial" w:cs="Arial"/>
        </w:rPr>
      </w:pPr>
    </w:p>
    <w:p w14:paraId="0B107C7B" w14:textId="73BC4567" w:rsidR="002F59E2" w:rsidRPr="008D0295" w:rsidRDefault="00C33B6E" w:rsidP="008C7BE9">
      <w:pPr>
        <w:spacing w:line="240" w:lineRule="auto"/>
        <w:jc w:val="both"/>
        <w:rPr>
          <w:rFonts w:ascii="Arial" w:hAnsi="Arial" w:cs="Arial"/>
          <w:color w:val="FF0000"/>
        </w:rPr>
      </w:pPr>
      <w:r>
        <w:rPr>
          <w:rFonts w:ascii="Arial" w:hAnsi="Arial" w:cs="Arial"/>
        </w:rPr>
        <w:t>Referrals</w:t>
      </w:r>
      <w:r w:rsidR="002F59E2" w:rsidRPr="008D0295">
        <w:rPr>
          <w:rFonts w:ascii="Arial" w:hAnsi="Arial" w:cs="Arial"/>
        </w:rPr>
        <w:t xml:space="preserve"> </w:t>
      </w:r>
      <w:r w:rsidR="00095E67" w:rsidRPr="008D0295">
        <w:rPr>
          <w:rFonts w:ascii="Arial" w:hAnsi="Arial" w:cs="Arial"/>
        </w:rPr>
        <w:t xml:space="preserve">to Derby and Derbyshire Long (Post) Covid services </w:t>
      </w:r>
      <w:r w:rsidR="002F59E2" w:rsidRPr="008D0295">
        <w:rPr>
          <w:rFonts w:ascii="Arial" w:hAnsi="Arial" w:cs="Arial"/>
        </w:rPr>
        <w:t>peaked at 120</w:t>
      </w:r>
      <w:r>
        <w:rPr>
          <w:rFonts w:ascii="Arial" w:hAnsi="Arial" w:cs="Arial"/>
        </w:rPr>
        <w:t xml:space="preserve"> during the first two weeks of June 2022</w:t>
      </w:r>
      <w:r w:rsidR="002F59E2" w:rsidRPr="008D0295">
        <w:rPr>
          <w:rFonts w:ascii="Arial" w:hAnsi="Arial" w:cs="Arial"/>
        </w:rPr>
        <w:t>. From Dec</w:t>
      </w:r>
      <w:r w:rsidR="00622A0D" w:rsidRPr="008D0295">
        <w:rPr>
          <w:rFonts w:ascii="Arial" w:hAnsi="Arial" w:cs="Arial"/>
        </w:rPr>
        <w:t>ember</w:t>
      </w:r>
      <w:r w:rsidR="002F59E2" w:rsidRPr="008D0295">
        <w:rPr>
          <w:rFonts w:ascii="Arial" w:hAnsi="Arial" w:cs="Arial"/>
        </w:rPr>
        <w:t xml:space="preserve"> 22 to Feb</w:t>
      </w:r>
      <w:r w:rsidR="00622A0D" w:rsidRPr="008D0295">
        <w:rPr>
          <w:rFonts w:ascii="Arial" w:hAnsi="Arial" w:cs="Arial"/>
        </w:rPr>
        <w:t>ruary</w:t>
      </w:r>
      <w:r w:rsidR="002F59E2" w:rsidRPr="008D0295">
        <w:rPr>
          <w:rFonts w:ascii="Arial" w:hAnsi="Arial" w:cs="Arial"/>
        </w:rPr>
        <w:t xml:space="preserve"> 23 there </w:t>
      </w:r>
      <w:r w:rsidR="00604703" w:rsidRPr="008D0295">
        <w:rPr>
          <w:rFonts w:ascii="Arial" w:hAnsi="Arial" w:cs="Arial"/>
        </w:rPr>
        <w:t>w</w:t>
      </w:r>
      <w:r w:rsidR="002F59E2" w:rsidRPr="008D0295">
        <w:rPr>
          <w:rFonts w:ascii="Arial" w:hAnsi="Arial" w:cs="Arial"/>
        </w:rPr>
        <w:t xml:space="preserve">as a downward trend in </w:t>
      </w:r>
      <w:r w:rsidR="0068023B">
        <w:rPr>
          <w:rFonts w:ascii="Arial" w:hAnsi="Arial" w:cs="Arial"/>
        </w:rPr>
        <w:t xml:space="preserve">fortnightly </w:t>
      </w:r>
      <w:r w:rsidR="002F59E2" w:rsidRPr="008D0295">
        <w:rPr>
          <w:rFonts w:ascii="Arial" w:hAnsi="Arial" w:cs="Arial"/>
        </w:rPr>
        <w:t xml:space="preserve">referrals to 25 (12 a week). </w:t>
      </w:r>
      <w:r w:rsidR="00604703" w:rsidRPr="008D0295">
        <w:rPr>
          <w:rFonts w:ascii="Arial" w:hAnsi="Arial" w:cs="Arial"/>
        </w:rPr>
        <w:t xml:space="preserve">These now stand at approximately </w:t>
      </w:r>
      <w:r w:rsidR="00AC24F8" w:rsidRPr="008D0295">
        <w:rPr>
          <w:rFonts w:ascii="Arial" w:hAnsi="Arial" w:cs="Arial"/>
        </w:rPr>
        <w:t>4</w:t>
      </w:r>
      <w:r w:rsidR="00604703" w:rsidRPr="008D0295">
        <w:rPr>
          <w:rFonts w:ascii="Arial" w:hAnsi="Arial" w:cs="Arial"/>
        </w:rPr>
        <w:t xml:space="preserve"> per week.</w:t>
      </w:r>
      <w:r w:rsidR="00095E67" w:rsidRPr="008D0295">
        <w:rPr>
          <w:rFonts w:ascii="Arial" w:hAnsi="Arial" w:cs="Arial"/>
        </w:rPr>
        <w:t xml:space="preserve"> </w:t>
      </w:r>
      <w:r w:rsidR="002F59E2" w:rsidRPr="008D0295">
        <w:rPr>
          <w:rFonts w:ascii="Arial" w:hAnsi="Arial" w:cs="Arial"/>
        </w:rPr>
        <w:t>This is in line with national trends.</w:t>
      </w:r>
      <w:r w:rsidR="00474AAF" w:rsidRPr="008D0295">
        <w:rPr>
          <w:rFonts w:ascii="Arial" w:hAnsi="Arial" w:cs="Arial"/>
        </w:rPr>
        <w:t xml:space="preserve"> </w:t>
      </w:r>
    </w:p>
    <w:p w14:paraId="75C9DB20" w14:textId="3C47EBC1" w:rsidR="00B174BB" w:rsidRPr="008D0295" w:rsidRDefault="002F59E2" w:rsidP="008D0295">
      <w:pPr>
        <w:pStyle w:val="Heading2"/>
      </w:pPr>
      <w:bookmarkStart w:id="25" w:name="_Toc211436410"/>
      <w:r w:rsidRPr="008D0295">
        <w:t>4.</w:t>
      </w:r>
      <w:r w:rsidR="00D66A1C" w:rsidRPr="008D0295">
        <w:t>2</w:t>
      </w:r>
      <w:r w:rsidRPr="008D0295">
        <w:t xml:space="preserve"> </w:t>
      </w:r>
      <w:r w:rsidR="00B174BB" w:rsidRPr="008D0295">
        <w:t>Workforce recruitment and retention</w:t>
      </w:r>
      <w:bookmarkEnd w:id="25"/>
    </w:p>
    <w:p w14:paraId="4F39F15E" w14:textId="7CED7EDB" w:rsidR="00C21D21" w:rsidRPr="008D0295" w:rsidRDefault="00C21D21" w:rsidP="008C7BE9">
      <w:pPr>
        <w:spacing w:after="0" w:line="240" w:lineRule="auto"/>
        <w:jc w:val="both"/>
        <w:rPr>
          <w:rFonts w:ascii="Arial" w:hAnsi="Arial" w:cs="Arial"/>
        </w:rPr>
      </w:pPr>
    </w:p>
    <w:p w14:paraId="5BC809F2" w14:textId="4B38D975" w:rsidR="00DF7EA6" w:rsidRPr="008D0295" w:rsidRDefault="00DF7EA6" w:rsidP="008C7BE9">
      <w:pPr>
        <w:spacing w:after="0" w:line="240" w:lineRule="auto"/>
        <w:jc w:val="both"/>
        <w:rPr>
          <w:rFonts w:ascii="Arial" w:hAnsi="Arial" w:cs="Arial"/>
        </w:rPr>
      </w:pPr>
      <w:r w:rsidRPr="008D0295">
        <w:rPr>
          <w:rFonts w:ascii="Arial" w:hAnsi="Arial" w:cs="Arial"/>
        </w:rPr>
        <w:t xml:space="preserve">The number of staff working within the service reduced by 42% in March 2025, </w:t>
      </w:r>
      <w:r w:rsidR="00F4175F" w:rsidRPr="008D0295">
        <w:rPr>
          <w:rFonts w:ascii="Arial" w:hAnsi="Arial" w:cs="Arial"/>
        </w:rPr>
        <w:t>when</w:t>
      </w:r>
      <w:r w:rsidRPr="008D0295">
        <w:rPr>
          <w:rFonts w:ascii="Arial" w:hAnsi="Arial" w:cs="Arial"/>
        </w:rPr>
        <w:t xml:space="preserve"> seconded staff return</w:t>
      </w:r>
      <w:r w:rsidR="007C3B75" w:rsidRPr="008D0295">
        <w:rPr>
          <w:rFonts w:ascii="Arial" w:hAnsi="Arial" w:cs="Arial"/>
        </w:rPr>
        <w:t>ed</w:t>
      </w:r>
      <w:r w:rsidRPr="008D0295">
        <w:rPr>
          <w:rFonts w:ascii="Arial" w:hAnsi="Arial" w:cs="Arial"/>
        </w:rPr>
        <w:t xml:space="preserve"> to their substantive position</w:t>
      </w:r>
      <w:r w:rsidR="00555C6D" w:rsidRPr="008D0295">
        <w:rPr>
          <w:rFonts w:ascii="Arial" w:hAnsi="Arial" w:cs="Arial"/>
        </w:rPr>
        <w:t>, an issue largely driven by the non-recurrent nature of the service's funding</w:t>
      </w:r>
      <w:r w:rsidRPr="008D0295">
        <w:rPr>
          <w:rFonts w:ascii="Arial" w:hAnsi="Arial" w:cs="Arial"/>
        </w:rPr>
        <w:t xml:space="preserve">. </w:t>
      </w:r>
    </w:p>
    <w:p w14:paraId="3E08C082" w14:textId="77777777" w:rsidR="00DF7EA6" w:rsidRPr="008D0295" w:rsidRDefault="00DF7EA6" w:rsidP="008C7BE9">
      <w:pPr>
        <w:spacing w:after="0" w:line="240" w:lineRule="auto"/>
        <w:jc w:val="both"/>
        <w:rPr>
          <w:rFonts w:ascii="Arial" w:hAnsi="Arial" w:cs="Arial"/>
        </w:rPr>
      </w:pPr>
    </w:p>
    <w:p w14:paraId="5BEEB262" w14:textId="29DC765D" w:rsidR="00555C6D" w:rsidRPr="008D0295" w:rsidRDefault="00D66A1C" w:rsidP="008C7BE9">
      <w:pPr>
        <w:spacing w:after="0" w:line="240" w:lineRule="auto"/>
        <w:jc w:val="both"/>
        <w:rPr>
          <w:rFonts w:ascii="Arial" w:hAnsi="Arial" w:cs="Arial"/>
        </w:rPr>
      </w:pPr>
      <w:r w:rsidRPr="008D0295">
        <w:rPr>
          <w:rFonts w:ascii="Arial" w:hAnsi="Arial" w:cs="Arial"/>
        </w:rPr>
        <w:t xml:space="preserve">Due to concerns regarding the fragility of the service </w:t>
      </w:r>
      <w:r w:rsidR="00555C6D" w:rsidRPr="008D0295">
        <w:rPr>
          <w:rFonts w:ascii="Arial" w:hAnsi="Arial" w:cs="Arial"/>
        </w:rPr>
        <w:t>the ICB committed to maintaining a smaller service while a further review was undertaken to inform the development of a sustainable delivery model from April 2026 onwards.</w:t>
      </w:r>
    </w:p>
    <w:p w14:paraId="417EB9C1" w14:textId="77777777" w:rsidR="00555C6D" w:rsidRPr="008D0295" w:rsidRDefault="00555C6D" w:rsidP="008C7BE9">
      <w:pPr>
        <w:spacing w:after="0" w:line="240" w:lineRule="auto"/>
        <w:jc w:val="both"/>
        <w:rPr>
          <w:rFonts w:ascii="Arial" w:hAnsi="Arial" w:cs="Arial"/>
        </w:rPr>
      </w:pPr>
    </w:p>
    <w:p w14:paraId="53782A54" w14:textId="18BF64D3" w:rsidR="00D66A1C" w:rsidRPr="008D0295" w:rsidRDefault="00555C6D" w:rsidP="008C7BE9">
      <w:pPr>
        <w:spacing w:after="0" w:line="240" w:lineRule="auto"/>
        <w:jc w:val="both"/>
        <w:rPr>
          <w:rFonts w:ascii="Arial" w:hAnsi="Arial" w:cs="Arial"/>
        </w:rPr>
      </w:pPr>
      <w:r w:rsidRPr="008D0295">
        <w:rPr>
          <w:rFonts w:ascii="Arial" w:hAnsi="Arial" w:cs="Arial"/>
        </w:rPr>
        <w:t>In the revised model</w:t>
      </w:r>
      <w:r w:rsidR="0068023B">
        <w:rPr>
          <w:rFonts w:ascii="Arial" w:hAnsi="Arial" w:cs="Arial"/>
        </w:rPr>
        <w:t>,</w:t>
      </w:r>
      <w:r w:rsidRPr="008D0295">
        <w:rPr>
          <w:rFonts w:ascii="Arial" w:hAnsi="Arial" w:cs="Arial"/>
        </w:rPr>
        <w:t xml:space="preserve"> t</w:t>
      </w:r>
      <w:r w:rsidR="00DE670F" w:rsidRPr="008D0295">
        <w:rPr>
          <w:rFonts w:ascii="Arial" w:hAnsi="Arial" w:cs="Arial"/>
        </w:rPr>
        <w:t xml:space="preserve">herapy and psychology staffing will be provided from core DCHS services, to support delivery of rehabilitation by a broader range of staff, reducing the challenges and risks associated with operating a small standalone service. </w:t>
      </w:r>
      <w:r w:rsidR="00AC6BAB">
        <w:rPr>
          <w:rFonts w:ascii="Arial" w:hAnsi="Arial" w:cs="Arial"/>
        </w:rPr>
        <w:t xml:space="preserve">Referrals for children and young people will continue to be passed through DCHS and onto the UHDB paediatric occupational therapy team. </w:t>
      </w:r>
    </w:p>
    <w:p w14:paraId="692485AB" w14:textId="77777777" w:rsidR="00D66A1C" w:rsidRPr="008D0295" w:rsidRDefault="00D66A1C" w:rsidP="008C7BE9">
      <w:pPr>
        <w:spacing w:after="0" w:line="240" w:lineRule="auto"/>
        <w:jc w:val="both"/>
        <w:rPr>
          <w:rFonts w:ascii="Arial" w:hAnsi="Arial" w:cs="Arial"/>
        </w:rPr>
      </w:pPr>
    </w:p>
    <w:p w14:paraId="3E28A459" w14:textId="4A881548" w:rsidR="00C21D21" w:rsidRDefault="00D66A1C" w:rsidP="008C7BE9">
      <w:pPr>
        <w:spacing w:after="0" w:line="240" w:lineRule="auto"/>
        <w:jc w:val="both"/>
        <w:rPr>
          <w:rFonts w:ascii="Arial" w:hAnsi="Arial" w:cs="Arial"/>
        </w:rPr>
      </w:pPr>
      <w:r w:rsidRPr="008D0295">
        <w:rPr>
          <w:rFonts w:ascii="Arial" w:hAnsi="Arial" w:cs="Arial"/>
        </w:rPr>
        <w:t>It is hoped that the commitment to commissioning a recurrent service will help to mitigate against this risk</w:t>
      </w:r>
      <w:r w:rsidR="00555C6D" w:rsidRPr="008D0295">
        <w:rPr>
          <w:rFonts w:ascii="Arial" w:hAnsi="Arial" w:cs="Arial"/>
        </w:rPr>
        <w:t xml:space="preserve"> of service staff seeking alternative employment, destabilising the service in-year</w:t>
      </w:r>
      <w:r w:rsidR="00A36B91" w:rsidRPr="008D0295">
        <w:rPr>
          <w:rFonts w:ascii="Arial" w:hAnsi="Arial" w:cs="Arial"/>
        </w:rPr>
        <w:t>.</w:t>
      </w:r>
      <w:r w:rsidRPr="008D0295">
        <w:rPr>
          <w:rFonts w:ascii="Arial" w:hAnsi="Arial" w:cs="Arial"/>
        </w:rPr>
        <w:t xml:space="preserve"> </w:t>
      </w:r>
    </w:p>
    <w:p w14:paraId="2671A909" w14:textId="77777777" w:rsidR="0050128B" w:rsidRDefault="0050128B" w:rsidP="008C7BE9">
      <w:pPr>
        <w:spacing w:after="0" w:line="240" w:lineRule="auto"/>
        <w:jc w:val="both"/>
        <w:rPr>
          <w:rFonts w:ascii="Arial" w:hAnsi="Arial" w:cs="Arial"/>
        </w:rPr>
      </w:pPr>
    </w:p>
    <w:p w14:paraId="36506F93" w14:textId="77777777" w:rsidR="0050128B" w:rsidRPr="008D0295" w:rsidRDefault="0050128B" w:rsidP="008C7BE9">
      <w:pPr>
        <w:spacing w:after="0" w:line="240" w:lineRule="auto"/>
        <w:jc w:val="both"/>
        <w:rPr>
          <w:rFonts w:ascii="Arial" w:hAnsi="Arial" w:cs="Arial"/>
        </w:rPr>
      </w:pPr>
    </w:p>
    <w:p w14:paraId="282F16E9" w14:textId="77777777" w:rsidR="00C21D21" w:rsidRPr="008D0295" w:rsidRDefault="00C21D21" w:rsidP="008C7BE9">
      <w:pPr>
        <w:spacing w:after="0" w:line="240" w:lineRule="auto"/>
        <w:jc w:val="both"/>
        <w:rPr>
          <w:rFonts w:ascii="Arial" w:hAnsi="Arial" w:cs="Arial"/>
        </w:rPr>
      </w:pPr>
    </w:p>
    <w:p w14:paraId="17F979A1" w14:textId="3E91B6BF" w:rsidR="00544968" w:rsidRPr="008D0295" w:rsidRDefault="00FE05D2" w:rsidP="008D0295">
      <w:pPr>
        <w:pStyle w:val="Heading2"/>
      </w:pPr>
      <w:bookmarkStart w:id="26" w:name="_Toc211436411"/>
      <w:r w:rsidRPr="008D0295">
        <w:lastRenderedPageBreak/>
        <w:t>4.</w:t>
      </w:r>
      <w:r w:rsidR="00D66A1C" w:rsidRPr="008D0295">
        <w:t>3</w:t>
      </w:r>
      <w:r w:rsidRPr="008D0295">
        <w:t xml:space="preserve"> </w:t>
      </w:r>
      <w:r w:rsidR="00251BC1" w:rsidRPr="008D0295">
        <w:t>Caseload</w:t>
      </w:r>
      <w:bookmarkEnd w:id="26"/>
      <w:r w:rsidR="00251BC1" w:rsidRPr="008D0295">
        <w:t xml:space="preserve"> </w:t>
      </w:r>
    </w:p>
    <w:p w14:paraId="7C0882C7" w14:textId="77777777" w:rsidR="0050128B" w:rsidRDefault="0050128B" w:rsidP="008C7BE9">
      <w:pPr>
        <w:jc w:val="both"/>
        <w:rPr>
          <w:rFonts w:ascii="Arial" w:hAnsi="Arial" w:cs="Arial"/>
        </w:rPr>
      </w:pPr>
    </w:p>
    <w:p w14:paraId="257EAA4C" w14:textId="018BB56B" w:rsidR="00251BC1" w:rsidRPr="008D0295" w:rsidRDefault="00AC6BAB" w:rsidP="008C7BE9">
      <w:pPr>
        <w:jc w:val="both"/>
        <w:rPr>
          <w:rFonts w:ascii="Arial" w:hAnsi="Arial" w:cs="Arial"/>
        </w:rPr>
      </w:pPr>
      <w:r>
        <w:rPr>
          <w:rFonts w:ascii="Arial" w:hAnsi="Arial" w:cs="Arial"/>
        </w:rPr>
        <w:t xml:space="preserve">At the beginning of </w:t>
      </w:r>
      <w:proofErr w:type="gramStart"/>
      <w:r>
        <w:rPr>
          <w:rFonts w:ascii="Arial" w:hAnsi="Arial" w:cs="Arial"/>
        </w:rPr>
        <w:t>August 2025</w:t>
      </w:r>
      <w:proofErr w:type="gramEnd"/>
      <w:r>
        <w:rPr>
          <w:rFonts w:ascii="Arial" w:hAnsi="Arial" w:cs="Arial"/>
        </w:rPr>
        <w:t xml:space="preserve"> the</w:t>
      </w:r>
      <w:r w:rsidRPr="008D0295">
        <w:rPr>
          <w:rFonts w:ascii="Arial" w:hAnsi="Arial" w:cs="Arial"/>
        </w:rPr>
        <w:t xml:space="preserve"> caseload for the service </w:t>
      </w:r>
      <w:r>
        <w:rPr>
          <w:rFonts w:ascii="Arial" w:hAnsi="Arial" w:cs="Arial"/>
        </w:rPr>
        <w:t xml:space="preserve">stood at </w:t>
      </w:r>
      <w:r w:rsidRPr="008D0295">
        <w:rPr>
          <w:rFonts w:ascii="Arial" w:hAnsi="Arial" w:cs="Arial"/>
        </w:rPr>
        <w:t>50</w:t>
      </w:r>
      <w:r>
        <w:rPr>
          <w:rFonts w:ascii="Arial" w:hAnsi="Arial" w:cs="Arial"/>
        </w:rPr>
        <w:t>6</w:t>
      </w:r>
      <w:r w:rsidRPr="008D0295">
        <w:rPr>
          <w:rFonts w:ascii="Arial" w:hAnsi="Arial" w:cs="Arial"/>
        </w:rPr>
        <w:t xml:space="preserve"> patients.</w:t>
      </w:r>
      <w:r>
        <w:rPr>
          <w:rFonts w:ascii="Arial" w:hAnsi="Arial" w:cs="Arial"/>
        </w:rPr>
        <w:t xml:space="preserve"> Due to the challenge of managing a high caseload with reduced staffing, </w:t>
      </w:r>
      <w:r w:rsidR="00842FB6" w:rsidRPr="008D0295">
        <w:rPr>
          <w:rFonts w:ascii="Arial" w:hAnsi="Arial" w:cs="Arial"/>
        </w:rPr>
        <w:t xml:space="preserve">DCHS </w:t>
      </w:r>
      <w:r>
        <w:rPr>
          <w:rFonts w:ascii="Arial" w:hAnsi="Arial" w:cs="Arial"/>
        </w:rPr>
        <w:t>were</w:t>
      </w:r>
      <w:r w:rsidR="00842FB6" w:rsidRPr="008D0295">
        <w:rPr>
          <w:rFonts w:ascii="Arial" w:hAnsi="Arial" w:cs="Arial"/>
        </w:rPr>
        <w:t xml:space="preserve"> aiming to clear a substantial amount of this caseload, before there are further staffing reductions in October 2025. </w:t>
      </w:r>
    </w:p>
    <w:p w14:paraId="1D3A87C9" w14:textId="4A6DE033" w:rsidR="00251BC1" w:rsidRDefault="00251BC1" w:rsidP="008D0295">
      <w:pPr>
        <w:pStyle w:val="Heading2"/>
      </w:pPr>
      <w:bookmarkStart w:id="27" w:name="_Toc211436412"/>
      <w:r w:rsidRPr="008D0295">
        <w:t>4.</w:t>
      </w:r>
      <w:r w:rsidR="00D66A1C" w:rsidRPr="008D0295">
        <w:t>4</w:t>
      </w:r>
      <w:r w:rsidRPr="008D0295">
        <w:t xml:space="preserve"> Revised pathway not in line with NHSE guidelines</w:t>
      </w:r>
      <w:bookmarkEnd w:id="27"/>
      <w:r w:rsidRPr="008D0295">
        <w:t xml:space="preserve"> </w:t>
      </w:r>
    </w:p>
    <w:p w14:paraId="2D10BFC9" w14:textId="77777777" w:rsidR="00183B37" w:rsidRDefault="00183B37" w:rsidP="00C07EE4">
      <w:pPr>
        <w:jc w:val="both"/>
        <w:rPr>
          <w:rFonts w:ascii="Arial" w:hAnsi="Arial" w:cs="Arial"/>
        </w:rPr>
      </w:pPr>
    </w:p>
    <w:p w14:paraId="43B5607E" w14:textId="4FC371C0" w:rsidR="00A36B91" w:rsidRPr="008D0295" w:rsidRDefault="000F1F34" w:rsidP="00C07EE4">
      <w:pPr>
        <w:jc w:val="both"/>
        <w:rPr>
          <w:rFonts w:ascii="Arial" w:hAnsi="Arial" w:cs="Arial"/>
        </w:rPr>
      </w:pPr>
      <w:r w:rsidRPr="008D0295">
        <w:rPr>
          <w:rFonts w:ascii="Arial" w:hAnsi="Arial" w:cs="Arial"/>
        </w:rPr>
        <w:t xml:space="preserve">The service model that has been agreed for 2025/2026 is not fully aligned with the NHSE commissioning guidelines for </w:t>
      </w:r>
      <w:r w:rsidR="0068023B">
        <w:rPr>
          <w:rFonts w:ascii="Arial" w:hAnsi="Arial" w:cs="Arial"/>
        </w:rPr>
        <w:t>P</w:t>
      </w:r>
      <w:r w:rsidRPr="008D0295">
        <w:rPr>
          <w:rFonts w:ascii="Arial" w:hAnsi="Arial" w:cs="Arial"/>
        </w:rPr>
        <w:t>ost</w:t>
      </w:r>
      <w:r w:rsidR="0068023B">
        <w:rPr>
          <w:rFonts w:ascii="Arial" w:hAnsi="Arial" w:cs="Arial"/>
        </w:rPr>
        <w:t xml:space="preserve"> (Long)</w:t>
      </w:r>
      <w:r w:rsidRPr="008D0295">
        <w:rPr>
          <w:rFonts w:ascii="Arial" w:hAnsi="Arial" w:cs="Arial"/>
        </w:rPr>
        <w:t xml:space="preserve"> COVID services. The main difference is that the service will no longer be led by a medic</w:t>
      </w:r>
      <w:r w:rsidR="00EC2BF3" w:rsidRPr="008D0295">
        <w:rPr>
          <w:rFonts w:ascii="Arial" w:hAnsi="Arial" w:cs="Arial"/>
        </w:rPr>
        <w:t>al lead</w:t>
      </w:r>
      <w:r w:rsidRPr="008D0295">
        <w:rPr>
          <w:rFonts w:ascii="Arial" w:hAnsi="Arial" w:cs="Arial"/>
        </w:rPr>
        <w:t>, but will be led by an experienced, advanced clinical practitioner</w:t>
      </w:r>
      <w:r w:rsidR="0050128B">
        <w:rPr>
          <w:rFonts w:ascii="Arial" w:hAnsi="Arial" w:cs="Arial"/>
        </w:rPr>
        <w:t>, with access to clinical guidance, from different specialities, through advice and guidance pathways</w:t>
      </w:r>
      <w:r w:rsidRPr="008D0295">
        <w:rPr>
          <w:rFonts w:ascii="Arial" w:hAnsi="Arial" w:cs="Arial"/>
        </w:rPr>
        <w:t xml:space="preserve">. </w:t>
      </w:r>
      <w:r w:rsidR="00842FB6" w:rsidRPr="008D0295">
        <w:rPr>
          <w:rFonts w:ascii="Arial" w:hAnsi="Arial" w:cs="Arial"/>
        </w:rPr>
        <w:t xml:space="preserve">However, </w:t>
      </w:r>
      <w:r w:rsidR="00842FB6" w:rsidRPr="008D0295">
        <w:rPr>
          <w:rFonts w:ascii="Arial" w:hAnsi="Arial" w:cs="Arial"/>
          <w:color w:val="000000" w:themeColor="text1"/>
        </w:rPr>
        <w:t>this guidance was intended to be used as a blueprint for best practice and designed to be adapted to local needs</w:t>
      </w:r>
      <w:r w:rsidR="00183B37">
        <w:rPr>
          <w:rFonts w:ascii="Arial" w:hAnsi="Arial" w:cs="Arial"/>
          <w:color w:val="000000" w:themeColor="text1"/>
        </w:rPr>
        <w:t xml:space="preserve">. </w:t>
      </w:r>
    </w:p>
    <w:p w14:paraId="21188CDD" w14:textId="00C5EA2D" w:rsidR="00B174BB" w:rsidRPr="008D0295" w:rsidRDefault="00B174BB" w:rsidP="008D0295">
      <w:pPr>
        <w:pStyle w:val="Heading1"/>
      </w:pPr>
      <w:bookmarkStart w:id="28" w:name="_Toc211436413"/>
      <w:r w:rsidRPr="008D0295">
        <w:t>Section 5: Opportunities for Change</w:t>
      </w:r>
      <w:bookmarkEnd w:id="28"/>
    </w:p>
    <w:p w14:paraId="08DED65F" w14:textId="77777777" w:rsidR="00544968" w:rsidRPr="008D0295" w:rsidRDefault="00544968" w:rsidP="00984DD4">
      <w:pPr>
        <w:spacing w:after="0"/>
        <w:jc w:val="both"/>
        <w:rPr>
          <w:rFonts w:ascii="Arial" w:hAnsi="Arial" w:cs="Arial"/>
        </w:rPr>
      </w:pPr>
    </w:p>
    <w:p w14:paraId="64E79C8B" w14:textId="73A4A9FD" w:rsidR="00D12A63" w:rsidRPr="008D0295" w:rsidRDefault="003713E6" w:rsidP="008D0295">
      <w:pPr>
        <w:pStyle w:val="Heading2"/>
      </w:pPr>
      <w:bookmarkStart w:id="29" w:name="_Toc211436414"/>
      <w:r w:rsidRPr="008D0295">
        <w:t>5.1 Service Opportunities</w:t>
      </w:r>
      <w:bookmarkEnd w:id="29"/>
    </w:p>
    <w:p w14:paraId="25CE29BE" w14:textId="77777777" w:rsidR="008D0295" w:rsidRDefault="008D0295" w:rsidP="00A36B91">
      <w:pPr>
        <w:spacing w:after="0"/>
        <w:jc w:val="both"/>
        <w:rPr>
          <w:rFonts w:ascii="Arial" w:hAnsi="Arial" w:cs="Arial"/>
        </w:rPr>
      </w:pPr>
    </w:p>
    <w:p w14:paraId="16EF5506" w14:textId="5787C04B" w:rsidR="00A36B91" w:rsidRPr="008D0295" w:rsidRDefault="00010626" w:rsidP="00A36B91">
      <w:pPr>
        <w:spacing w:after="0"/>
        <w:jc w:val="both"/>
        <w:rPr>
          <w:rFonts w:ascii="Arial" w:hAnsi="Arial" w:cs="Arial"/>
        </w:rPr>
      </w:pPr>
      <w:r w:rsidRPr="008D0295">
        <w:rPr>
          <w:rFonts w:ascii="Arial" w:hAnsi="Arial" w:cs="Arial"/>
        </w:rPr>
        <w:t xml:space="preserve">The ICB has agreed a revised pathway for the </w:t>
      </w:r>
      <w:r w:rsidR="00C07EE4" w:rsidRPr="008D0295">
        <w:rPr>
          <w:rFonts w:ascii="Arial" w:hAnsi="Arial" w:cs="Arial"/>
        </w:rPr>
        <w:t>P</w:t>
      </w:r>
      <w:r w:rsidRPr="008D0295">
        <w:rPr>
          <w:rFonts w:ascii="Arial" w:hAnsi="Arial" w:cs="Arial"/>
        </w:rPr>
        <w:t xml:space="preserve">ost </w:t>
      </w:r>
      <w:r w:rsidR="00C07EE4" w:rsidRPr="008D0295">
        <w:rPr>
          <w:rFonts w:ascii="Arial" w:hAnsi="Arial" w:cs="Arial"/>
        </w:rPr>
        <w:t xml:space="preserve">(Long) </w:t>
      </w:r>
      <w:r w:rsidRPr="008D0295">
        <w:rPr>
          <w:rFonts w:ascii="Arial" w:hAnsi="Arial" w:cs="Arial"/>
        </w:rPr>
        <w:t>COVID service that is being delivered by DCHS. As detailed above the revised pathway deviates from NHS England guidelines, as the referrals are triaged by an advanced clinical practitioner</w:t>
      </w:r>
      <w:r w:rsidR="00C07EE4" w:rsidRPr="008D0295">
        <w:rPr>
          <w:rFonts w:ascii="Arial" w:hAnsi="Arial" w:cs="Arial"/>
        </w:rPr>
        <w:t xml:space="preserve"> (ACP)</w:t>
      </w:r>
      <w:r w:rsidRPr="008D0295">
        <w:rPr>
          <w:rFonts w:ascii="Arial" w:hAnsi="Arial" w:cs="Arial"/>
        </w:rPr>
        <w:t xml:space="preserve">, rather than a dedicated medical lead, as this is no longer feasible. </w:t>
      </w:r>
      <w:r w:rsidR="00A72302">
        <w:rPr>
          <w:rFonts w:ascii="Arial" w:hAnsi="Arial" w:cs="Arial"/>
        </w:rPr>
        <w:t>A</w:t>
      </w:r>
      <w:r w:rsidRPr="008D0295">
        <w:rPr>
          <w:rFonts w:ascii="Arial" w:hAnsi="Arial" w:cs="Arial"/>
        </w:rPr>
        <w:t>dditional medical oversight will be available from the wider DCHS infrastructure</w:t>
      </w:r>
      <w:r w:rsidR="00A72302">
        <w:rPr>
          <w:rFonts w:ascii="Arial" w:hAnsi="Arial" w:cs="Arial"/>
        </w:rPr>
        <w:t xml:space="preserve"> and through advice and guidance systems</w:t>
      </w:r>
      <w:r w:rsidRPr="008D0295">
        <w:rPr>
          <w:rFonts w:ascii="Arial" w:hAnsi="Arial" w:cs="Arial"/>
        </w:rPr>
        <w:t>.</w:t>
      </w:r>
      <w:r w:rsidR="00A72302">
        <w:rPr>
          <w:rFonts w:ascii="Arial" w:hAnsi="Arial" w:cs="Arial"/>
        </w:rPr>
        <w:t xml:space="preserve"> </w:t>
      </w:r>
      <w:r w:rsidRPr="008D0295">
        <w:rPr>
          <w:rFonts w:ascii="Arial" w:hAnsi="Arial" w:cs="Arial"/>
        </w:rPr>
        <w:t xml:space="preserve">   </w:t>
      </w:r>
    </w:p>
    <w:p w14:paraId="58C0A850" w14:textId="77777777" w:rsidR="00A36B91" w:rsidRPr="008D0295" w:rsidRDefault="00A36B91" w:rsidP="00A36B91">
      <w:pPr>
        <w:spacing w:after="0"/>
        <w:jc w:val="both"/>
        <w:rPr>
          <w:rFonts w:ascii="Arial" w:hAnsi="Arial" w:cs="Arial"/>
        </w:rPr>
      </w:pPr>
    </w:p>
    <w:p w14:paraId="5CA091A4" w14:textId="46DAD622" w:rsidR="0029211B" w:rsidRPr="008D0295" w:rsidRDefault="00A36B91" w:rsidP="00A36B91">
      <w:pPr>
        <w:spacing w:after="0"/>
        <w:jc w:val="both"/>
        <w:rPr>
          <w:rFonts w:ascii="Arial" w:hAnsi="Arial" w:cs="Arial"/>
        </w:rPr>
      </w:pPr>
      <w:r w:rsidRPr="008D0295">
        <w:rPr>
          <w:rFonts w:ascii="Arial" w:hAnsi="Arial" w:cs="Arial"/>
        </w:rPr>
        <w:t xml:space="preserve">A task and finish group will be </w:t>
      </w:r>
      <w:r w:rsidR="00DF7EA6" w:rsidRPr="008D0295">
        <w:rPr>
          <w:rFonts w:ascii="Arial" w:hAnsi="Arial" w:cs="Arial"/>
        </w:rPr>
        <w:t>established to i</w:t>
      </w:r>
      <w:r w:rsidRPr="008D0295">
        <w:rPr>
          <w:rFonts w:ascii="Arial" w:hAnsi="Arial" w:cs="Arial"/>
        </w:rPr>
        <w:t>nclud</w:t>
      </w:r>
      <w:r w:rsidR="00DF7EA6" w:rsidRPr="008D0295">
        <w:rPr>
          <w:rFonts w:ascii="Arial" w:hAnsi="Arial" w:cs="Arial"/>
        </w:rPr>
        <w:t xml:space="preserve">e (at a minimum) representatives from the </w:t>
      </w:r>
      <w:r w:rsidRPr="008D0295">
        <w:rPr>
          <w:rFonts w:ascii="Arial" w:hAnsi="Arial" w:cs="Arial"/>
        </w:rPr>
        <w:t xml:space="preserve">provider (clinical and managerial), </w:t>
      </w:r>
      <w:r w:rsidR="00DF7EA6" w:rsidRPr="008D0295">
        <w:rPr>
          <w:rFonts w:ascii="Arial" w:hAnsi="Arial" w:cs="Arial"/>
        </w:rPr>
        <w:t>Derby and Derbyshire Integrated Care Board representation a</w:t>
      </w:r>
      <w:r w:rsidRPr="008D0295">
        <w:rPr>
          <w:rFonts w:ascii="Arial" w:hAnsi="Arial" w:cs="Arial"/>
        </w:rPr>
        <w:t xml:space="preserve">nd patient </w:t>
      </w:r>
      <w:r w:rsidR="00DF7EA6" w:rsidRPr="008D0295">
        <w:rPr>
          <w:rFonts w:ascii="Arial" w:hAnsi="Arial" w:cs="Arial"/>
        </w:rPr>
        <w:t>and public partners</w:t>
      </w:r>
      <w:r w:rsidRPr="008D0295">
        <w:rPr>
          <w:rFonts w:ascii="Arial" w:hAnsi="Arial" w:cs="Arial"/>
        </w:rPr>
        <w:t xml:space="preserve">. </w:t>
      </w:r>
      <w:r w:rsidR="0029211B" w:rsidRPr="008D0295">
        <w:rPr>
          <w:rFonts w:ascii="Arial" w:hAnsi="Arial" w:cs="Arial"/>
        </w:rPr>
        <w:t xml:space="preserve">The revised model will be evaluated over the coming months and with involvement from </w:t>
      </w:r>
      <w:r w:rsidR="00DF7EA6" w:rsidRPr="008D0295">
        <w:rPr>
          <w:rFonts w:ascii="Arial" w:hAnsi="Arial" w:cs="Arial"/>
        </w:rPr>
        <w:t xml:space="preserve">these </w:t>
      </w:r>
      <w:r w:rsidR="0029211B" w:rsidRPr="008D0295">
        <w:rPr>
          <w:rFonts w:ascii="Arial" w:hAnsi="Arial" w:cs="Arial"/>
        </w:rPr>
        <w:t xml:space="preserve">key stakeholders, a model for 2026/27 onwards will be agreed and commissioned. </w:t>
      </w:r>
    </w:p>
    <w:p w14:paraId="50628616" w14:textId="77777777" w:rsidR="00652EEC" w:rsidRPr="008D0295" w:rsidRDefault="00652EEC" w:rsidP="00984DD4">
      <w:pPr>
        <w:spacing w:after="0" w:line="240" w:lineRule="auto"/>
        <w:jc w:val="both"/>
        <w:rPr>
          <w:rFonts w:ascii="Arial" w:hAnsi="Arial" w:cs="Arial"/>
        </w:rPr>
      </w:pPr>
    </w:p>
    <w:p w14:paraId="39D61814" w14:textId="4E30ECE8" w:rsidR="004B2ECC" w:rsidRDefault="00D96E1D" w:rsidP="008D0295">
      <w:pPr>
        <w:pStyle w:val="Heading2"/>
      </w:pPr>
      <w:bookmarkStart w:id="30" w:name="_Toc211436415"/>
      <w:r w:rsidRPr="008D0295">
        <w:t>5.2 Patient and Public Engagement</w:t>
      </w:r>
      <w:bookmarkEnd w:id="30"/>
    </w:p>
    <w:p w14:paraId="23014E3D" w14:textId="77777777" w:rsidR="008D0295" w:rsidRPr="008D0295" w:rsidRDefault="008D0295" w:rsidP="008D0295"/>
    <w:p w14:paraId="12877315" w14:textId="250A1D33" w:rsidR="00D96E1D" w:rsidRPr="008D0295" w:rsidRDefault="00E17D4A" w:rsidP="00984DD4">
      <w:pPr>
        <w:jc w:val="both"/>
        <w:rPr>
          <w:rFonts w:ascii="Arial" w:hAnsi="Arial" w:cs="Arial"/>
        </w:rPr>
      </w:pPr>
      <w:r w:rsidRPr="008D0295">
        <w:rPr>
          <w:rFonts w:ascii="Arial" w:hAnsi="Arial" w:cs="Arial"/>
        </w:rPr>
        <w:t xml:space="preserve">The ICB and providers are </w:t>
      </w:r>
      <w:r w:rsidR="009957F3" w:rsidRPr="008D0295">
        <w:rPr>
          <w:rFonts w:ascii="Arial" w:hAnsi="Arial" w:cs="Arial"/>
        </w:rPr>
        <w:t xml:space="preserve">always </w:t>
      </w:r>
      <w:r w:rsidRPr="008D0295">
        <w:rPr>
          <w:rFonts w:ascii="Arial" w:hAnsi="Arial" w:cs="Arial"/>
        </w:rPr>
        <w:t xml:space="preserve">keen to listen and gain feedback from patients and the public regarding the current service and future service opportunities. (e.g., access, quality of care). </w:t>
      </w:r>
    </w:p>
    <w:p w14:paraId="10665A55" w14:textId="1C342D5C" w:rsidR="009957F3" w:rsidRPr="008D0295" w:rsidRDefault="009957F3" w:rsidP="00984DD4">
      <w:pPr>
        <w:jc w:val="both"/>
        <w:rPr>
          <w:rFonts w:ascii="Arial" w:hAnsi="Arial" w:cs="Arial"/>
        </w:rPr>
      </w:pPr>
      <w:r w:rsidRPr="008D0295">
        <w:rPr>
          <w:rFonts w:ascii="Arial" w:hAnsi="Arial" w:cs="Arial"/>
        </w:rPr>
        <w:t>During the previous service review a thorough patient engagement exercise was conducted. This consisted of a survey and five workshops (two were virtual, at different times of the day, and three were face to face across the north and south of the county). 221 people fed directly into these. Additionally, other sources of feedback were collated, such as emailed experiences and social media feedback.</w:t>
      </w:r>
    </w:p>
    <w:p w14:paraId="74497401" w14:textId="081AFC05" w:rsidR="009957F3" w:rsidRPr="008D0295" w:rsidRDefault="009957F3" w:rsidP="00984DD4">
      <w:pPr>
        <w:jc w:val="both"/>
        <w:rPr>
          <w:rFonts w:ascii="Arial" w:hAnsi="Arial" w:cs="Arial"/>
        </w:rPr>
      </w:pPr>
      <w:r w:rsidRPr="008D0295">
        <w:rPr>
          <w:rFonts w:ascii="Arial" w:hAnsi="Arial" w:cs="Arial"/>
        </w:rPr>
        <w:t xml:space="preserve">Below is a summary of the findings of this feedback. </w:t>
      </w:r>
    </w:p>
    <w:p w14:paraId="2C20D39B" w14:textId="7E1BB1D9" w:rsidR="009957F3" w:rsidRDefault="009957F3" w:rsidP="00A72302">
      <w:pPr>
        <w:pStyle w:val="ListParagraph"/>
        <w:numPr>
          <w:ilvl w:val="0"/>
          <w:numId w:val="16"/>
        </w:numPr>
        <w:spacing w:after="0" w:line="240" w:lineRule="auto"/>
        <w:jc w:val="both"/>
        <w:rPr>
          <w:rFonts w:ascii="Arial" w:hAnsi="Arial" w:cs="Arial"/>
          <w:b/>
          <w:bCs/>
        </w:rPr>
      </w:pPr>
      <w:r w:rsidRPr="008D0295">
        <w:rPr>
          <w:rFonts w:ascii="Arial" w:hAnsi="Arial" w:cs="Arial"/>
          <w:b/>
          <w:bCs/>
        </w:rPr>
        <w:lastRenderedPageBreak/>
        <w:t>Access to Specialised, Holistic Care</w:t>
      </w:r>
    </w:p>
    <w:p w14:paraId="2A18521B" w14:textId="77777777" w:rsidR="00A72302" w:rsidRPr="008D0295" w:rsidRDefault="00A72302" w:rsidP="00A72302">
      <w:pPr>
        <w:pStyle w:val="ListParagraph"/>
        <w:spacing w:after="0" w:line="240" w:lineRule="auto"/>
        <w:jc w:val="both"/>
        <w:rPr>
          <w:rFonts w:ascii="Arial" w:hAnsi="Arial" w:cs="Arial"/>
          <w:b/>
          <w:bCs/>
        </w:rPr>
      </w:pPr>
    </w:p>
    <w:p w14:paraId="0262B4B5" w14:textId="2AC17EDB" w:rsidR="009957F3" w:rsidRPr="008D0295" w:rsidRDefault="009957F3" w:rsidP="00A72302">
      <w:pPr>
        <w:numPr>
          <w:ilvl w:val="0"/>
          <w:numId w:val="9"/>
        </w:numPr>
        <w:spacing w:after="0" w:line="240" w:lineRule="auto"/>
        <w:jc w:val="both"/>
        <w:rPr>
          <w:rFonts w:ascii="Arial" w:hAnsi="Arial" w:cs="Arial"/>
        </w:rPr>
      </w:pPr>
      <w:r w:rsidRPr="008D0295">
        <w:rPr>
          <w:rFonts w:ascii="Arial" w:hAnsi="Arial" w:cs="Arial"/>
        </w:rPr>
        <w:t xml:space="preserve">Patients want access to specialist treatment, diagnostics, and therapies tailored to </w:t>
      </w:r>
      <w:r w:rsidR="00C07EE4" w:rsidRPr="008D0295">
        <w:rPr>
          <w:rFonts w:ascii="Arial" w:hAnsi="Arial" w:cs="Arial"/>
        </w:rPr>
        <w:t>Post (</w:t>
      </w:r>
      <w:r w:rsidRPr="008D0295">
        <w:rPr>
          <w:rFonts w:ascii="Arial" w:hAnsi="Arial" w:cs="Arial"/>
        </w:rPr>
        <w:t>Long</w:t>
      </w:r>
      <w:r w:rsidR="00C07EE4" w:rsidRPr="008D0295">
        <w:rPr>
          <w:rFonts w:ascii="Arial" w:hAnsi="Arial" w:cs="Arial"/>
        </w:rPr>
        <w:t>)</w:t>
      </w:r>
      <w:r w:rsidRPr="008D0295">
        <w:rPr>
          <w:rFonts w:ascii="Arial" w:hAnsi="Arial" w:cs="Arial"/>
        </w:rPr>
        <w:t xml:space="preserve"> COVID symptoms.</w:t>
      </w:r>
    </w:p>
    <w:p w14:paraId="1FBB3D9A" w14:textId="77777777" w:rsidR="009957F3" w:rsidRPr="008D0295" w:rsidRDefault="009957F3" w:rsidP="00A72302">
      <w:pPr>
        <w:numPr>
          <w:ilvl w:val="0"/>
          <w:numId w:val="9"/>
        </w:numPr>
        <w:spacing w:after="0" w:line="240" w:lineRule="auto"/>
        <w:jc w:val="both"/>
        <w:rPr>
          <w:rFonts w:ascii="Arial" w:hAnsi="Arial" w:cs="Arial"/>
        </w:rPr>
      </w:pPr>
      <w:r w:rsidRPr="008D0295">
        <w:rPr>
          <w:rFonts w:ascii="Arial" w:hAnsi="Arial" w:cs="Arial"/>
        </w:rPr>
        <w:t>A multi-disciplinary team (MDT) or hub model is preferred, offering joined-up, holistic care in one place.</w:t>
      </w:r>
    </w:p>
    <w:p w14:paraId="6D36F91D" w14:textId="77777777" w:rsidR="009957F3" w:rsidRDefault="009957F3" w:rsidP="00A72302">
      <w:pPr>
        <w:numPr>
          <w:ilvl w:val="0"/>
          <w:numId w:val="9"/>
        </w:numPr>
        <w:spacing w:after="0" w:line="240" w:lineRule="auto"/>
        <w:jc w:val="both"/>
        <w:rPr>
          <w:rFonts w:ascii="Arial" w:hAnsi="Arial" w:cs="Arial"/>
        </w:rPr>
      </w:pPr>
      <w:r w:rsidRPr="008D0295">
        <w:rPr>
          <w:rFonts w:ascii="Arial" w:hAnsi="Arial" w:cs="Arial"/>
        </w:rPr>
        <w:t>Continuity of care and access to expert clinicians who understand the condition is highly valued.</w:t>
      </w:r>
    </w:p>
    <w:p w14:paraId="1DBBF517" w14:textId="3869FE45" w:rsidR="00A72302" w:rsidRDefault="00A72302" w:rsidP="004A506F">
      <w:pPr>
        <w:spacing w:after="0" w:line="240" w:lineRule="auto"/>
        <w:ind w:left="720"/>
        <w:jc w:val="both"/>
        <w:rPr>
          <w:rFonts w:ascii="Arial" w:hAnsi="Arial" w:cs="Arial"/>
        </w:rPr>
      </w:pPr>
    </w:p>
    <w:p w14:paraId="0675B3AA" w14:textId="77777777" w:rsidR="00A72302" w:rsidRPr="008D0295" w:rsidRDefault="00A72302" w:rsidP="00A72302">
      <w:pPr>
        <w:spacing w:after="0" w:line="240" w:lineRule="auto"/>
        <w:ind w:left="720"/>
        <w:jc w:val="both"/>
        <w:rPr>
          <w:rFonts w:ascii="Arial" w:hAnsi="Arial" w:cs="Arial"/>
        </w:rPr>
      </w:pPr>
    </w:p>
    <w:p w14:paraId="70FFB8E8" w14:textId="1F80A6FA" w:rsidR="009957F3" w:rsidRPr="008D0295" w:rsidRDefault="009957F3" w:rsidP="007645CC">
      <w:pPr>
        <w:pStyle w:val="ListParagraph"/>
        <w:numPr>
          <w:ilvl w:val="0"/>
          <w:numId w:val="16"/>
        </w:numPr>
        <w:spacing w:line="240" w:lineRule="auto"/>
        <w:jc w:val="both"/>
        <w:rPr>
          <w:rFonts w:ascii="Arial" w:hAnsi="Arial" w:cs="Arial"/>
          <w:b/>
          <w:bCs/>
        </w:rPr>
      </w:pPr>
      <w:r w:rsidRPr="008D0295">
        <w:rPr>
          <w:rFonts w:ascii="Arial" w:hAnsi="Arial" w:cs="Arial"/>
          <w:b/>
          <w:bCs/>
        </w:rPr>
        <w:t>Service Availability and Accessibility</w:t>
      </w:r>
    </w:p>
    <w:p w14:paraId="1D65815D" w14:textId="77777777" w:rsidR="009957F3" w:rsidRPr="008D0295" w:rsidRDefault="009957F3" w:rsidP="00A72302">
      <w:pPr>
        <w:numPr>
          <w:ilvl w:val="0"/>
          <w:numId w:val="10"/>
        </w:numPr>
        <w:spacing w:after="0" w:line="240" w:lineRule="auto"/>
        <w:jc w:val="both"/>
        <w:rPr>
          <w:rFonts w:ascii="Arial" w:hAnsi="Arial" w:cs="Arial"/>
        </w:rPr>
      </w:pPr>
      <w:r w:rsidRPr="008D0295">
        <w:rPr>
          <w:rFonts w:ascii="Arial" w:hAnsi="Arial" w:cs="Arial"/>
        </w:rPr>
        <w:t>People want the service to remain available and easily accessible, with options for face-to-face, phone, and online appointments.</w:t>
      </w:r>
    </w:p>
    <w:p w14:paraId="5A20819C" w14:textId="77777777" w:rsidR="009957F3" w:rsidRPr="008D0295" w:rsidRDefault="009957F3" w:rsidP="00A72302">
      <w:pPr>
        <w:numPr>
          <w:ilvl w:val="0"/>
          <w:numId w:val="10"/>
        </w:numPr>
        <w:spacing w:after="0" w:line="240" w:lineRule="auto"/>
        <w:jc w:val="both"/>
        <w:rPr>
          <w:rFonts w:ascii="Arial" w:hAnsi="Arial" w:cs="Arial"/>
        </w:rPr>
      </w:pPr>
      <w:r w:rsidRPr="008D0295">
        <w:rPr>
          <w:rFonts w:ascii="Arial" w:hAnsi="Arial" w:cs="Arial"/>
        </w:rPr>
        <w:t>Shorter waiting times and clearer referral pathways are important.</w:t>
      </w:r>
    </w:p>
    <w:p w14:paraId="2C1919AF" w14:textId="77777777" w:rsidR="009957F3" w:rsidRDefault="009957F3" w:rsidP="00A72302">
      <w:pPr>
        <w:numPr>
          <w:ilvl w:val="0"/>
          <w:numId w:val="10"/>
        </w:numPr>
        <w:spacing w:after="0" w:line="240" w:lineRule="auto"/>
        <w:jc w:val="both"/>
        <w:rPr>
          <w:rFonts w:ascii="Arial" w:hAnsi="Arial" w:cs="Arial"/>
        </w:rPr>
      </w:pPr>
      <w:r w:rsidRPr="008D0295">
        <w:rPr>
          <w:rFonts w:ascii="Arial" w:hAnsi="Arial" w:cs="Arial"/>
        </w:rPr>
        <w:t>Suggestions included drop-in clinics, local outreach hubs, and better access for rural or deprived areas.</w:t>
      </w:r>
    </w:p>
    <w:p w14:paraId="2EA4FDA2" w14:textId="77777777" w:rsidR="00A72302" w:rsidRPr="008D0295" w:rsidRDefault="00A72302" w:rsidP="00A72302">
      <w:pPr>
        <w:spacing w:after="0" w:line="240" w:lineRule="auto"/>
        <w:ind w:left="720"/>
        <w:jc w:val="both"/>
        <w:rPr>
          <w:rFonts w:ascii="Arial" w:hAnsi="Arial" w:cs="Arial"/>
        </w:rPr>
      </w:pPr>
    </w:p>
    <w:p w14:paraId="59FB2A83" w14:textId="778AB64D" w:rsidR="009957F3" w:rsidRPr="008D0295" w:rsidRDefault="009957F3" w:rsidP="007645CC">
      <w:pPr>
        <w:pStyle w:val="ListParagraph"/>
        <w:numPr>
          <w:ilvl w:val="0"/>
          <w:numId w:val="16"/>
        </w:numPr>
        <w:spacing w:line="240" w:lineRule="auto"/>
        <w:jc w:val="both"/>
        <w:rPr>
          <w:rFonts w:ascii="Arial" w:hAnsi="Arial" w:cs="Arial"/>
          <w:b/>
          <w:bCs/>
        </w:rPr>
      </w:pPr>
      <w:r w:rsidRPr="008D0295">
        <w:rPr>
          <w:rFonts w:ascii="Arial" w:hAnsi="Arial" w:cs="Arial"/>
          <w:b/>
          <w:bCs/>
        </w:rPr>
        <w:t>Ongoing Support and Follow-up</w:t>
      </w:r>
    </w:p>
    <w:p w14:paraId="139AB890" w14:textId="77777777" w:rsidR="009957F3" w:rsidRPr="008D0295" w:rsidRDefault="009957F3" w:rsidP="00A72302">
      <w:pPr>
        <w:numPr>
          <w:ilvl w:val="0"/>
          <w:numId w:val="11"/>
        </w:numPr>
        <w:spacing w:after="0" w:line="240" w:lineRule="auto"/>
        <w:jc w:val="both"/>
        <w:rPr>
          <w:rFonts w:ascii="Arial" w:hAnsi="Arial" w:cs="Arial"/>
        </w:rPr>
      </w:pPr>
      <w:r w:rsidRPr="008D0295">
        <w:rPr>
          <w:rFonts w:ascii="Arial" w:hAnsi="Arial" w:cs="Arial"/>
        </w:rPr>
        <w:t>Patients want long-term support, not just one-off interventions.</w:t>
      </w:r>
    </w:p>
    <w:p w14:paraId="31A71F0A" w14:textId="77777777" w:rsidR="009957F3" w:rsidRPr="008D0295" w:rsidRDefault="009957F3" w:rsidP="00A72302">
      <w:pPr>
        <w:numPr>
          <w:ilvl w:val="0"/>
          <w:numId w:val="11"/>
        </w:numPr>
        <w:spacing w:after="0" w:line="240" w:lineRule="auto"/>
        <w:jc w:val="both"/>
        <w:rPr>
          <w:rFonts w:ascii="Arial" w:hAnsi="Arial" w:cs="Arial"/>
        </w:rPr>
      </w:pPr>
      <w:r w:rsidRPr="008D0295">
        <w:rPr>
          <w:rFonts w:ascii="Arial" w:hAnsi="Arial" w:cs="Arial"/>
        </w:rPr>
        <w:t>This includes psychological support, peer support groups, and help with employment or benefits.</w:t>
      </w:r>
    </w:p>
    <w:p w14:paraId="735E9B58" w14:textId="77777777" w:rsidR="009957F3" w:rsidRDefault="009957F3" w:rsidP="00A72302">
      <w:pPr>
        <w:numPr>
          <w:ilvl w:val="0"/>
          <w:numId w:val="11"/>
        </w:numPr>
        <w:spacing w:after="0" w:line="240" w:lineRule="auto"/>
        <w:jc w:val="both"/>
        <w:rPr>
          <w:rFonts w:ascii="Arial" w:hAnsi="Arial" w:cs="Arial"/>
        </w:rPr>
      </w:pPr>
      <w:r w:rsidRPr="008D0295">
        <w:rPr>
          <w:rFonts w:ascii="Arial" w:hAnsi="Arial" w:cs="Arial"/>
        </w:rPr>
        <w:t>Many expressed a need for post-discharge contact, fast-track re-entry if symptoms worsen, and patient-initiated follow-up.</w:t>
      </w:r>
    </w:p>
    <w:p w14:paraId="37C647E2" w14:textId="77777777" w:rsidR="00A72302" w:rsidRPr="008D0295" w:rsidRDefault="00A72302" w:rsidP="00A72302">
      <w:pPr>
        <w:spacing w:after="0" w:line="240" w:lineRule="auto"/>
        <w:ind w:left="720"/>
        <w:jc w:val="both"/>
        <w:rPr>
          <w:rFonts w:ascii="Arial" w:hAnsi="Arial" w:cs="Arial"/>
        </w:rPr>
      </w:pPr>
    </w:p>
    <w:p w14:paraId="0F7A8192" w14:textId="4B9A3FB4" w:rsidR="009957F3" w:rsidRPr="008D0295" w:rsidRDefault="009957F3" w:rsidP="007645CC">
      <w:pPr>
        <w:pStyle w:val="ListParagraph"/>
        <w:numPr>
          <w:ilvl w:val="0"/>
          <w:numId w:val="16"/>
        </w:numPr>
        <w:spacing w:line="240" w:lineRule="auto"/>
        <w:jc w:val="both"/>
        <w:rPr>
          <w:rFonts w:ascii="Arial" w:hAnsi="Arial" w:cs="Arial"/>
          <w:b/>
          <w:bCs/>
        </w:rPr>
      </w:pPr>
      <w:r w:rsidRPr="008D0295">
        <w:rPr>
          <w:rFonts w:ascii="Arial" w:hAnsi="Arial" w:cs="Arial"/>
          <w:b/>
          <w:bCs/>
        </w:rPr>
        <w:t>Clear Communication and Information</w:t>
      </w:r>
    </w:p>
    <w:p w14:paraId="69C98897" w14:textId="77777777" w:rsidR="009957F3" w:rsidRPr="008D0295" w:rsidRDefault="009957F3" w:rsidP="00A72302">
      <w:pPr>
        <w:numPr>
          <w:ilvl w:val="0"/>
          <w:numId w:val="12"/>
        </w:numPr>
        <w:spacing w:after="0" w:line="240" w:lineRule="auto"/>
        <w:jc w:val="both"/>
        <w:rPr>
          <w:rFonts w:ascii="Arial" w:hAnsi="Arial" w:cs="Arial"/>
        </w:rPr>
      </w:pPr>
      <w:r w:rsidRPr="008D0295">
        <w:rPr>
          <w:rFonts w:ascii="Arial" w:hAnsi="Arial" w:cs="Arial"/>
        </w:rPr>
        <w:t>Patients want better communication about:</w:t>
      </w:r>
    </w:p>
    <w:p w14:paraId="7389FECA" w14:textId="291C58AD" w:rsidR="009957F3" w:rsidRPr="008D0295" w:rsidRDefault="009957F3" w:rsidP="00A72302">
      <w:pPr>
        <w:numPr>
          <w:ilvl w:val="1"/>
          <w:numId w:val="12"/>
        </w:numPr>
        <w:spacing w:after="0" w:line="240" w:lineRule="auto"/>
        <w:jc w:val="both"/>
        <w:rPr>
          <w:rFonts w:ascii="Arial" w:hAnsi="Arial" w:cs="Arial"/>
        </w:rPr>
      </w:pPr>
      <w:r w:rsidRPr="008D0295">
        <w:rPr>
          <w:rFonts w:ascii="Arial" w:hAnsi="Arial" w:cs="Arial"/>
        </w:rPr>
        <w:t>What the service offers.</w:t>
      </w:r>
    </w:p>
    <w:p w14:paraId="100087D8" w14:textId="3F82B41F" w:rsidR="009957F3" w:rsidRPr="008D0295" w:rsidRDefault="009957F3" w:rsidP="00A72302">
      <w:pPr>
        <w:numPr>
          <w:ilvl w:val="1"/>
          <w:numId w:val="12"/>
        </w:numPr>
        <w:spacing w:after="0" w:line="240" w:lineRule="auto"/>
        <w:jc w:val="both"/>
        <w:rPr>
          <w:rFonts w:ascii="Arial" w:hAnsi="Arial" w:cs="Arial"/>
        </w:rPr>
      </w:pPr>
      <w:r w:rsidRPr="008D0295">
        <w:rPr>
          <w:rFonts w:ascii="Arial" w:hAnsi="Arial" w:cs="Arial"/>
        </w:rPr>
        <w:t>What to expect during the care journey.</w:t>
      </w:r>
    </w:p>
    <w:p w14:paraId="7F6811B4" w14:textId="1444E9D9" w:rsidR="009957F3" w:rsidRPr="008D0295" w:rsidRDefault="009957F3" w:rsidP="00A72302">
      <w:pPr>
        <w:numPr>
          <w:ilvl w:val="1"/>
          <w:numId w:val="12"/>
        </w:numPr>
        <w:spacing w:after="0" w:line="240" w:lineRule="auto"/>
        <w:jc w:val="both"/>
        <w:rPr>
          <w:rFonts w:ascii="Arial" w:hAnsi="Arial" w:cs="Arial"/>
        </w:rPr>
      </w:pPr>
      <w:r w:rsidRPr="008D0295">
        <w:rPr>
          <w:rFonts w:ascii="Arial" w:hAnsi="Arial" w:cs="Arial"/>
        </w:rPr>
        <w:t>Who to contact and how.</w:t>
      </w:r>
    </w:p>
    <w:p w14:paraId="567C14FC" w14:textId="77777777" w:rsidR="009957F3" w:rsidRPr="008D0295" w:rsidRDefault="009957F3" w:rsidP="00A72302">
      <w:pPr>
        <w:numPr>
          <w:ilvl w:val="0"/>
          <w:numId w:val="12"/>
        </w:numPr>
        <w:spacing w:after="0" w:line="240" w:lineRule="auto"/>
        <w:jc w:val="both"/>
        <w:rPr>
          <w:rFonts w:ascii="Arial" w:hAnsi="Arial" w:cs="Arial"/>
        </w:rPr>
      </w:pPr>
      <w:r w:rsidRPr="008D0295">
        <w:rPr>
          <w:rFonts w:ascii="Arial" w:hAnsi="Arial" w:cs="Arial"/>
        </w:rPr>
        <w:t>Personalised communication is important, especially for those with brain fog or memory issues.</w:t>
      </w:r>
    </w:p>
    <w:p w14:paraId="713DE548" w14:textId="77777777" w:rsidR="009957F3" w:rsidRDefault="009957F3" w:rsidP="00A72302">
      <w:pPr>
        <w:numPr>
          <w:ilvl w:val="0"/>
          <w:numId w:val="12"/>
        </w:numPr>
        <w:spacing w:after="0" w:line="240" w:lineRule="auto"/>
        <w:jc w:val="both"/>
        <w:rPr>
          <w:rFonts w:ascii="Arial" w:hAnsi="Arial" w:cs="Arial"/>
        </w:rPr>
      </w:pPr>
      <w:r w:rsidRPr="008D0295">
        <w:rPr>
          <w:rFonts w:ascii="Arial" w:hAnsi="Arial" w:cs="Arial"/>
        </w:rPr>
        <w:t>Self-help resources, updates on new treatments, and clear care plans were also requested.</w:t>
      </w:r>
    </w:p>
    <w:p w14:paraId="377307E5" w14:textId="77777777" w:rsidR="00A72302" w:rsidRPr="008D0295" w:rsidRDefault="00A72302" w:rsidP="00A72302">
      <w:pPr>
        <w:spacing w:after="0" w:line="240" w:lineRule="auto"/>
        <w:ind w:left="720"/>
        <w:jc w:val="both"/>
        <w:rPr>
          <w:rFonts w:ascii="Arial" w:hAnsi="Arial" w:cs="Arial"/>
        </w:rPr>
      </w:pPr>
    </w:p>
    <w:p w14:paraId="6E91DDE9" w14:textId="5284CC30" w:rsidR="009957F3" w:rsidRPr="008D0295" w:rsidRDefault="009957F3" w:rsidP="007645CC">
      <w:pPr>
        <w:pStyle w:val="ListParagraph"/>
        <w:numPr>
          <w:ilvl w:val="0"/>
          <w:numId w:val="16"/>
        </w:numPr>
        <w:spacing w:line="240" w:lineRule="auto"/>
        <w:jc w:val="both"/>
        <w:rPr>
          <w:rFonts w:ascii="Arial" w:hAnsi="Arial" w:cs="Arial"/>
          <w:b/>
          <w:bCs/>
        </w:rPr>
      </w:pPr>
      <w:r w:rsidRPr="008D0295">
        <w:rPr>
          <w:rFonts w:ascii="Arial" w:hAnsi="Arial" w:cs="Arial"/>
          <w:b/>
          <w:bCs/>
        </w:rPr>
        <w:t>Empathy, Understanding, and Being Believed</w:t>
      </w:r>
    </w:p>
    <w:p w14:paraId="6CFB1D11" w14:textId="77777777" w:rsidR="009957F3" w:rsidRPr="008D0295" w:rsidRDefault="009957F3" w:rsidP="00A72302">
      <w:pPr>
        <w:numPr>
          <w:ilvl w:val="0"/>
          <w:numId w:val="13"/>
        </w:numPr>
        <w:spacing w:after="0" w:line="240" w:lineRule="auto"/>
        <w:jc w:val="both"/>
        <w:rPr>
          <w:rFonts w:ascii="Arial" w:hAnsi="Arial" w:cs="Arial"/>
        </w:rPr>
      </w:pPr>
      <w:r w:rsidRPr="008D0295">
        <w:rPr>
          <w:rFonts w:ascii="Arial" w:hAnsi="Arial" w:cs="Arial"/>
        </w:rPr>
        <w:t>Feeling listened to, believed, and treated with empathy was a recurring theme.</w:t>
      </w:r>
    </w:p>
    <w:p w14:paraId="789704E4" w14:textId="395EB847" w:rsidR="009957F3" w:rsidRDefault="009957F3" w:rsidP="00A72302">
      <w:pPr>
        <w:numPr>
          <w:ilvl w:val="0"/>
          <w:numId w:val="13"/>
        </w:numPr>
        <w:spacing w:after="0" w:line="240" w:lineRule="auto"/>
        <w:jc w:val="both"/>
        <w:rPr>
          <w:rFonts w:ascii="Arial" w:hAnsi="Arial" w:cs="Arial"/>
        </w:rPr>
      </w:pPr>
      <w:r w:rsidRPr="008D0295">
        <w:rPr>
          <w:rFonts w:ascii="Arial" w:hAnsi="Arial" w:cs="Arial"/>
        </w:rPr>
        <w:t xml:space="preserve">Patients want to avoid being dismissed or “gaslighted” by professionals unfamiliar with </w:t>
      </w:r>
      <w:r w:rsidR="00684C82" w:rsidRPr="008D0295">
        <w:rPr>
          <w:rFonts w:ascii="Arial" w:hAnsi="Arial" w:cs="Arial"/>
        </w:rPr>
        <w:t>Post (</w:t>
      </w:r>
      <w:r w:rsidRPr="008D0295">
        <w:rPr>
          <w:rFonts w:ascii="Arial" w:hAnsi="Arial" w:cs="Arial"/>
        </w:rPr>
        <w:t>Long</w:t>
      </w:r>
      <w:r w:rsidR="00684C82" w:rsidRPr="008D0295">
        <w:rPr>
          <w:rFonts w:ascii="Arial" w:hAnsi="Arial" w:cs="Arial"/>
        </w:rPr>
        <w:t>)</w:t>
      </w:r>
      <w:r w:rsidRPr="008D0295">
        <w:rPr>
          <w:rFonts w:ascii="Arial" w:hAnsi="Arial" w:cs="Arial"/>
        </w:rPr>
        <w:t xml:space="preserve"> COVID.</w:t>
      </w:r>
    </w:p>
    <w:p w14:paraId="4A1F9D82" w14:textId="77777777" w:rsidR="00A72302" w:rsidRPr="008D0295" w:rsidRDefault="00A72302" w:rsidP="00A72302">
      <w:pPr>
        <w:spacing w:after="0" w:line="240" w:lineRule="auto"/>
        <w:ind w:left="720"/>
        <w:jc w:val="both"/>
        <w:rPr>
          <w:rFonts w:ascii="Arial" w:hAnsi="Arial" w:cs="Arial"/>
        </w:rPr>
      </w:pPr>
    </w:p>
    <w:p w14:paraId="54A39870" w14:textId="6F094ABB" w:rsidR="009957F3" w:rsidRPr="008D0295" w:rsidRDefault="009957F3" w:rsidP="007645CC">
      <w:pPr>
        <w:pStyle w:val="ListParagraph"/>
        <w:numPr>
          <w:ilvl w:val="0"/>
          <w:numId w:val="16"/>
        </w:numPr>
        <w:spacing w:line="240" w:lineRule="auto"/>
        <w:jc w:val="both"/>
        <w:rPr>
          <w:rFonts w:ascii="Arial" w:hAnsi="Arial" w:cs="Arial"/>
          <w:b/>
          <w:bCs/>
        </w:rPr>
      </w:pPr>
      <w:r w:rsidRPr="008D0295">
        <w:rPr>
          <w:rFonts w:ascii="Arial" w:hAnsi="Arial" w:cs="Arial"/>
          <w:b/>
          <w:bCs/>
        </w:rPr>
        <w:t>Education and Awareness</w:t>
      </w:r>
    </w:p>
    <w:p w14:paraId="231BD309" w14:textId="77777777" w:rsidR="009957F3" w:rsidRPr="008D0295" w:rsidRDefault="009957F3" w:rsidP="00A72302">
      <w:pPr>
        <w:numPr>
          <w:ilvl w:val="0"/>
          <w:numId w:val="14"/>
        </w:numPr>
        <w:spacing w:after="0" w:line="240" w:lineRule="auto"/>
        <w:jc w:val="both"/>
        <w:rPr>
          <w:rFonts w:ascii="Arial" w:hAnsi="Arial" w:cs="Arial"/>
        </w:rPr>
      </w:pPr>
      <w:r w:rsidRPr="008D0295">
        <w:rPr>
          <w:rFonts w:ascii="Arial" w:hAnsi="Arial" w:cs="Arial"/>
        </w:rPr>
        <w:t>Patients want:</w:t>
      </w:r>
    </w:p>
    <w:p w14:paraId="7D7BCBA5" w14:textId="1E5FAB98" w:rsidR="009957F3" w:rsidRPr="008D0295" w:rsidRDefault="009957F3" w:rsidP="00A72302">
      <w:pPr>
        <w:numPr>
          <w:ilvl w:val="1"/>
          <w:numId w:val="14"/>
        </w:numPr>
        <w:spacing w:after="0" w:line="240" w:lineRule="auto"/>
        <w:jc w:val="both"/>
        <w:rPr>
          <w:rFonts w:ascii="Arial" w:hAnsi="Arial" w:cs="Arial"/>
        </w:rPr>
      </w:pPr>
      <w:r w:rsidRPr="008D0295">
        <w:rPr>
          <w:rFonts w:ascii="Arial" w:hAnsi="Arial" w:cs="Arial"/>
        </w:rPr>
        <w:t xml:space="preserve">More public awareness of </w:t>
      </w:r>
      <w:r w:rsidR="00684C82" w:rsidRPr="008D0295">
        <w:rPr>
          <w:rFonts w:ascii="Arial" w:hAnsi="Arial" w:cs="Arial"/>
        </w:rPr>
        <w:t>Post (</w:t>
      </w:r>
      <w:r w:rsidRPr="008D0295">
        <w:rPr>
          <w:rFonts w:ascii="Arial" w:hAnsi="Arial" w:cs="Arial"/>
        </w:rPr>
        <w:t>Long</w:t>
      </w:r>
      <w:r w:rsidR="00684C82" w:rsidRPr="008D0295">
        <w:rPr>
          <w:rFonts w:ascii="Arial" w:hAnsi="Arial" w:cs="Arial"/>
        </w:rPr>
        <w:t>)</w:t>
      </w:r>
      <w:r w:rsidRPr="008D0295">
        <w:rPr>
          <w:rFonts w:ascii="Arial" w:hAnsi="Arial" w:cs="Arial"/>
        </w:rPr>
        <w:t xml:space="preserve"> COVID and the service.</w:t>
      </w:r>
    </w:p>
    <w:p w14:paraId="11406ECF" w14:textId="2EB5AFC8" w:rsidR="009957F3" w:rsidRPr="008D0295" w:rsidRDefault="009957F3" w:rsidP="00A72302">
      <w:pPr>
        <w:numPr>
          <w:ilvl w:val="1"/>
          <w:numId w:val="14"/>
        </w:numPr>
        <w:spacing w:after="0" w:line="240" w:lineRule="auto"/>
        <w:jc w:val="both"/>
        <w:rPr>
          <w:rFonts w:ascii="Arial" w:hAnsi="Arial" w:cs="Arial"/>
        </w:rPr>
      </w:pPr>
      <w:r w:rsidRPr="008D0295">
        <w:rPr>
          <w:rFonts w:ascii="Arial" w:hAnsi="Arial" w:cs="Arial"/>
        </w:rPr>
        <w:t>Better GP education on symptoms and referral pathways.</w:t>
      </w:r>
    </w:p>
    <w:p w14:paraId="45B2CCA8" w14:textId="77777777" w:rsidR="00A27883" w:rsidRDefault="009957F3" w:rsidP="00A72302">
      <w:pPr>
        <w:numPr>
          <w:ilvl w:val="1"/>
          <w:numId w:val="14"/>
        </w:numPr>
        <w:spacing w:after="0" w:line="240" w:lineRule="auto"/>
        <w:jc w:val="both"/>
        <w:rPr>
          <w:rFonts w:ascii="Arial" w:hAnsi="Arial" w:cs="Arial"/>
        </w:rPr>
      </w:pPr>
      <w:r w:rsidRPr="008D0295">
        <w:rPr>
          <w:rFonts w:ascii="Arial" w:hAnsi="Arial" w:cs="Arial"/>
        </w:rPr>
        <w:t>Reduced stigma and increased understanding in workplaces and communities.</w:t>
      </w:r>
    </w:p>
    <w:p w14:paraId="2129040A" w14:textId="77777777" w:rsidR="00A72302" w:rsidRPr="008D0295" w:rsidRDefault="00A72302" w:rsidP="00A72302">
      <w:pPr>
        <w:spacing w:after="0" w:line="240" w:lineRule="auto"/>
        <w:ind w:left="1440"/>
        <w:jc w:val="both"/>
        <w:rPr>
          <w:rFonts w:ascii="Arial" w:hAnsi="Arial" w:cs="Arial"/>
        </w:rPr>
      </w:pPr>
    </w:p>
    <w:p w14:paraId="248CC6E3" w14:textId="6F25903A" w:rsidR="009957F3" w:rsidRPr="008D0295" w:rsidRDefault="009957F3" w:rsidP="007645CC">
      <w:pPr>
        <w:pStyle w:val="ListParagraph"/>
        <w:numPr>
          <w:ilvl w:val="0"/>
          <w:numId w:val="16"/>
        </w:numPr>
        <w:spacing w:line="240" w:lineRule="auto"/>
        <w:jc w:val="both"/>
        <w:rPr>
          <w:rFonts w:ascii="Arial" w:hAnsi="Arial" w:cs="Arial"/>
          <w:b/>
          <w:bCs/>
        </w:rPr>
      </w:pPr>
      <w:r w:rsidRPr="008D0295">
        <w:rPr>
          <w:rFonts w:ascii="Arial" w:hAnsi="Arial" w:cs="Arial"/>
          <w:b/>
          <w:bCs/>
        </w:rPr>
        <w:t>Research and Innovation</w:t>
      </w:r>
    </w:p>
    <w:p w14:paraId="47B6AF3B" w14:textId="77777777" w:rsidR="009957F3" w:rsidRPr="008D0295" w:rsidRDefault="009957F3" w:rsidP="00A72302">
      <w:pPr>
        <w:numPr>
          <w:ilvl w:val="0"/>
          <w:numId w:val="15"/>
        </w:numPr>
        <w:spacing w:after="0" w:line="240" w:lineRule="auto"/>
        <w:jc w:val="both"/>
        <w:rPr>
          <w:rFonts w:ascii="Arial" w:hAnsi="Arial" w:cs="Arial"/>
        </w:rPr>
      </w:pPr>
      <w:r w:rsidRPr="008D0295">
        <w:rPr>
          <w:rFonts w:ascii="Arial" w:hAnsi="Arial" w:cs="Arial"/>
        </w:rPr>
        <w:t>There’s strong interest in:</w:t>
      </w:r>
    </w:p>
    <w:p w14:paraId="466D5030" w14:textId="5047DDC7" w:rsidR="009957F3" w:rsidRPr="008D0295" w:rsidRDefault="009957F3" w:rsidP="00A72302">
      <w:pPr>
        <w:numPr>
          <w:ilvl w:val="1"/>
          <w:numId w:val="15"/>
        </w:numPr>
        <w:spacing w:after="0" w:line="240" w:lineRule="auto"/>
        <w:jc w:val="both"/>
        <w:rPr>
          <w:rFonts w:ascii="Arial" w:hAnsi="Arial" w:cs="Arial"/>
        </w:rPr>
      </w:pPr>
      <w:r w:rsidRPr="008D0295">
        <w:rPr>
          <w:rFonts w:ascii="Arial" w:hAnsi="Arial" w:cs="Arial"/>
        </w:rPr>
        <w:t>Access to up-to-date research.</w:t>
      </w:r>
    </w:p>
    <w:p w14:paraId="6AAA0E89" w14:textId="70140C5B" w:rsidR="009957F3" w:rsidRPr="008D0295" w:rsidRDefault="009957F3" w:rsidP="00A72302">
      <w:pPr>
        <w:numPr>
          <w:ilvl w:val="1"/>
          <w:numId w:val="15"/>
        </w:numPr>
        <w:spacing w:after="0" w:line="240" w:lineRule="auto"/>
        <w:jc w:val="both"/>
        <w:rPr>
          <w:rFonts w:ascii="Arial" w:hAnsi="Arial" w:cs="Arial"/>
        </w:rPr>
      </w:pPr>
      <w:r w:rsidRPr="008D0295">
        <w:rPr>
          <w:rFonts w:ascii="Arial" w:hAnsi="Arial" w:cs="Arial"/>
        </w:rPr>
        <w:t>Participation in clinical trials.</w:t>
      </w:r>
    </w:p>
    <w:p w14:paraId="18FC9A74" w14:textId="4C2B02EF" w:rsidR="009957F3" w:rsidRPr="008D0295" w:rsidRDefault="009957F3" w:rsidP="00A72302">
      <w:pPr>
        <w:numPr>
          <w:ilvl w:val="1"/>
          <w:numId w:val="15"/>
        </w:numPr>
        <w:spacing w:after="0" w:line="240" w:lineRule="auto"/>
        <w:jc w:val="both"/>
        <w:rPr>
          <w:rFonts w:ascii="Arial" w:hAnsi="Arial" w:cs="Arial"/>
        </w:rPr>
      </w:pPr>
      <w:r w:rsidRPr="008D0295">
        <w:rPr>
          <w:rFonts w:ascii="Arial" w:hAnsi="Arial" w:cs="Arial"/>
        </w:rPr>
        <w:t>Services that evolve with the science.</w:t>
      </w:r>
    </w:p>
    <w:p w14:paraId="4E26696F" w14:textId="77777777" w:rsidR="00684C82" w:rsidRPr="00DB4B72" w:rsidRDefault="00684C82" w:rsidP="00A72302">
      <w:pPr>
        <w:pStyle w:val="Heading2"/>
        <w:jc w:val="both"/>
        <w:rPr>
          <w:rFonts w:cs="Arial"/>
          <w:b w:val="0"/>
          <w:bCs/>
          <w:sz w:val="22"/>
          <w:szCs w:val="22"/>
        </w:rPr>
      </w:pPr>
      <w:bookmarkStart w:id="31" w:name="_Toc202344326"/>
      <w:bookmarkStart w:id="32" w:name="_Toc202344364"/>
      <w:bookmarkStart w:id="33" w:name="_Toc202345019"/>
    </w:p>
    <w:p w14:paraId="322731BA" w14:textId="284B3B26" w:rsidR="00975B37" w:rsidRPr="00DB4B72" w:rsidRDefault="009957F3" w:rsidP="00A72302">
      <w:pPr>
        <w:jc w:val="both"/>
        <w:rPr>
          <w:rFonts w:ascii="Arial" w:hAnsi="Arial" w:cs="Arial"/>
          <w:b/>
        </w:rPr>
      </w:pPr>
      <w:r w:rsidRPr="00DB4B72">
        <w:rPr>
          <w:rFonts w:ascii="Arial" w:hAnsi="Arial" w:cs="Arial"/>
        </w:rPr>
        <w:t>For the purposes of this service review, as well as incorporating this previous learning, t</w:t>
      </w:r>
      <w:r w:rsidR="00975B37" w:rsidRPr="00DB4B72">
        <w:rPr>
          <w:rFonts w:ascii="Arial" w:hAnsi="Arial" w:cs="Arial"/>
        </w:rPr>
        <w:t xml:space="preserve">he ICB will recruit </w:t>
      </w:r>
      <w:r w:rsidR="004A506F">
        <w:rPr>
          <w:rFonts w:ascii="Arial" w:hAnsi="Arial" w:cs="Arial"/>
        </w:rPr>
        <w:t>three p</w:t>
      </w:r>
      <w:r w:rsidR="00975B37" w:rsidRPr="00DB4B72">
        <w:rPr>
          <w:rFonts w:ascii="Arial" w:hAnsi="Arial" w:cs="Arial"/>
        </w:rPr>
        <w:t xml:space="preserve">atient and public partners, who will be invited to attend the </w:t>
      </w:r>
      <w:r w:rsidR="0073742B" w:rsidRPr="00DB4B72">
        <w:rPr>
          <w:rFonts w:ascii="Arial" w:hAnsi="Arial" w:cs="Arial"/>
        </w:rPr>
        <w:t>Task and Finish Group</w:t>
      </w:r>
      <w:r w:rsidR="00975B37" w:rsidRPr="00DB4B72">
        <w:rPr>
          <w:rFonts w:ascii="Arial" w:hAnsi="Arial" w:cs="Arial"/>
        </w:rPr>
        <w:t xml:space="preserve">. They will be invited </w:t>
      </w:r>
      <w:r w:rsidR="00C21A29">
        <w:rPr>
          <w:rFonts w:ascii="Arial" w:hAnsi="Arial" w:cs="Arial"/>
        </w:rPr>
        <w:t xml:space="preserve">to </w:t>
      </w:r>
      <w:r w:rsidR="00975B37" w:rsidRPr="00DB4B72">
        <w:rPr>
          <w:rFonts w:ascii="Arial" w:hAnsi="Arial" w:cs="Arial"/>
        </w:rPr>
        <w:t xml:space="preserve">contribute to the service review and will help to shape the future </w:t>
      </w:r>
      <w:r w:rsidR="0032210C" w:rsidRPr="00DB4B72">
        <w:rPr>
          <w:rFonts w:ascii="Arial" w:hAnsi="Arial" w:cs="Arial"/>
        </w:rPr>
        <w:t>P</w:t>
      </w:r>
      <w:r w:rsidR="00975B37" w:rsidRPr="00DB4B72">
        <w:rPr>
          <w:rFonts w:ascii="Arial" w:hAnsi="Arial" w:cs="Arial"/>
        </w:rPr>
        <w:t>ost</w:t>
      </w:r>
      <w:r w:rsidR="0032210C" w:rsidRPr="00DB4B72">
        <w:rPr>
          <w:rFonts w:ascii="Arial" w:hAnsi="Arial" w:cs="Arial"/>
        </w:rPr>
        <w:t xml:space="preserve"> (Long)</w:t>
      </w:r>
      <w:r w:rsidR="00975B37" w:rsidRPr="00DB4B72">
        <w:rPr>
          <w:rFonts w:ascii="Arial" w:hAnsi="Arial" w:cs="Arial"/>
        </w:rPr>
        <w:t xml:space="preserve"> COVID service model.</w:t>
      </w:r>
      <w:bookmarkEnd w:id="31"/>
      <w:bookmarkEnd w:id="32"/>
      <w:bookmarkEnd w:id="33"/>
      <w:r w:rsidR="00975B37" w:rsidRPr="00DB4B72">
        <w:rPr>
          <w:rFonts w:ascii="Arial" w:hAnsi="Arial" w:cs="Arial"/>
        </w:rPr>
        <w:t xml:space="preserve"> </w:t>
      </w:r>
    </w:p>
    <w:p w14:paraId="6648AD7A" w14:textId="42838DF0" w:rsidR="00D57213" w:rsidRPr="008D0295" w:rsidRDefault="00D57213" w:rsidP="00A72302">
      <w:pPr>
        <w:jc w:val="both"/>
        <w:rPr>
          <w:rFonts w:ascii="Arial" w:hAnsi="Arial" w:cs="Arial"/>
        </w:rPr>
      </w:pPr>
      <w:r w:rsidRPr="008D0295">
        <w:rPr>
          <w:rFonts w:ascii="Arial" w:hAnsi="Arial" w:cs="Arial"/>
        </w:rPr>
        <w:t xml:space="preserve">The ICB will also monitor patient experiences, friends and family tests and complaints, </w:t>
      </w:r>
      <w:proofErr w:type="gramStart"/>
      <w:r w:rsidRPr="008D0295">
        <w:rPr>
          <w:rFonts w:ascii="Arial" w:hAnsi="Arial" w:cs="Arial"/>
        </w:rPr>
        <w:t>with regard to</w:t>
      </w:r>
      <w:proofErr w:type="gramEnd"/>
      <w:r w:rsidRPr="008D0295">
        <w:rPr>
          <w:rFonts w:ascii="Arial" w:hAnsi="Arial" w:cs="Arial"/>
        </w:rPr>
        <w:t xml:space="preserve"> the amended 2025/26 model, and ensure that this feedback is </w:t>
      </w:r>
      <w:r w:rsidR="009957F3" w:rsidRPr="008D0295">
        <w:rPr>
          <w:rFonts w:ascii="Arial" w:hAnsi="Arial" w:cs="Arial"/>
        </w:rPr>
        <w:t>considered</w:t>
      </w:r>
      <w:r w:rsidRPr="008D0295">
        <w:rPr>
          <w:rFonts w:ascii="Arial" w:hAnsi="Arial" w:cs="Arial"/>
        </w:rPr>
        <w:t xml:space="preserve"> in the design of the 2026/27 model. </w:t>
      </w:r>
    </w:p>
    <w:p w14:paraId="23E55A37" w14:textId="4B1650D1" w:rsidR="00B815FC" w:rsidRPr="008D0295" w:rsidRDefault="00520574" w:rsidP="008D0295">
      <w:pPr>
        <w:pStyle w:val="Heading2"/>
      </w:pPr>
      <w:bookmarkStart w:id="34" w:name="_Toc211436416"/>
      <w:r w:rsidRPr="008D0295">
        <w:t>5.3 Quality Equality Impact Assessments</w:t>
      </w:r>
      <w:bookmarkEnd w:id="34"/>
    </w:p>
    <w:p w14:paraId="17270D0A" w14:textId="77777777" w:rsidR="00A72302" w:rsidRDefault="00A72302" w:rsidP="00984DD4">
      <w:pPr>
        <w:jc w:val="both"/>
        <w:rPr>
          <w:rFonts w:ascii="Arial" w:hAnsi="Arial" w:cs="Arial"/>
        </w:rPr>
      </w:pPr>
    </w:p>
    <w:p w14:paraId="23C47FA4" w14:textId="048255ED" w:rsidR="00B174BB" w:rsidRPr="008D0295" w:rsidRDefault="00F45B34" w:rsidP="00984DD4">
      <w:pPr>
        <w:jc w:val="both"/>
        <w:rPr>
          <w:rFonts w:ascii="Arial" w:hAnsi="Arial" w:cs="Arial"/>
        </w:rPr>
      </w:pPr>
      <w:r w:rsidRPr="008D0295">
        <w:rPr>
          <w:rFonts w:ascii="Arial" w:hAnsi="Arial" w:cs="Arial"/>
        </w:rPr>
        <w:t>The ICB is committed to ensuring that commissioning decisions</w:t>
      </w:r>
      <w:r w:rsidR="000C0080" w:rsidRPr="008D0295">
        <w:rPr>
          <w:rFonts w:ascii="Arial" w:hAnsi="Arial" w:cs="Arial"/>
        </w:rPr>
        <w:t xml:space="preserve"> and</w:t>
      </w:r>
      <w:r w:rsidRPr="008D0295">
        <w:rPr>
          <w:rFonts w:ascii="Arial" w:hAnsi="Arial" w:cs="Arial"/>
        </w:rPr>
        <w:t xml:space="preserve"> business cases are appropriately evaluated for any potential impact on quality and equality.</w:t>
      </w:r>
    </w:p>
    <w:p w14:paraId="68AEC00A" w14:textId="0581F757" w:rsidR="00F45B34" w:rsidRPr="008D0295" w:rsidRDefault="00F45B34" w:rsidP="00984DD4">
      <w:pPr>
        <w:jc w:val="both"/>
        <w:rPr>
          <w:rFonts w:ascii="Arial" w:hAnsi="Arial" w:cs="Arial"/>
        </w:rPr>
      </w:pPr>
      <w:r w:rsidRPr="008D0295">
        <w:rPr>
          <w:rFonts w:ascii="Arial" w:hAnsi="Arial" w:cs="Arial"/>
        </w:rPr>
        <w:t xml:space="preserve">Quality and Equality Impact </w:t>
      </w:r>
      <w:r w:rsidR="000C0080" w:rsidRPr="008D0295">
        <w:rPr>
          <w:rFonts w:ascii="Arial" w:hAnsi="Arial" w:cs="Arial"/>
        </w:rPr>
        <w:t>A</w:t>
      </w:r>
      <w:r w:rsidRPr="008D0295">
        <w:rPr>
          <w:rFonts w:ascii="Arial" w:hAnsi="Arial" w:cs="Arial"/>
        </w:rPr>
        <w:t>ssessments</w:t>
      </w:r>
      <w:r w:rsidR="000C0080" w:rsidRPr="008D0295">
        <w:rPr>
          <w:rFonts w:ascii="Arial" w:hAnsi="Arial" w:cs="Arial"/>
        </w:rPr>
        <w:t xml:space="preserve"> (QEIA)</w:t>
      </w:r>
      <w:r w:rsidRPr="008D0295">
        <w:rPr>
          <w:rFonts w:ascii="Arial" w:hAnsi="Arial" w:cs="Arial"/>
        </w:rPr>
        <w:t xml:space="preserve"> is a continuous process that ensures that business plans/decisions are assessed</w:t>
      </w:r>
      <w:r w:rsidR="000C0080" w:rsidRPr="008D0295">
        <w:rPr>
          <w:rFonts w:ascii="Arial" w:hAnsi="Arial" w:cs="Arial"/>
        </w:rPr>
        <w:t xml:space="preserve">. All </w:t>
      </w:r>
      <w:r w:rsidRPr="008D0295">
        <w:rPr>
          <w:rFonts w:ascii="Arial" w:hAnsi="Arial" w:cs="Arial"/>
        </w:rPr>
        <w:t xml:space="preserve">potential consequences on quality </w:t>
      </w:r>
      <w:r w:rsidR="000C0080" w:rsidRPr="008D0295">
        <w:rPr>
          <w:rFonts w:ascii="Arial" w:hAnsi="Arial" w:cs="Arial"/>
        </w:rPr>
        <w:t xml:space="preserve">or protected characteristic groups </w:t>
      </w:r>
      <w:r w:rsidRPr="008D0295">
        <w:rPr>
          <w:rFonts w:ascii="Arial" w:hAnsi="Arial" w:cs="Arial"/>
        </w:rPr>
        <w:t>are considered</w:t>
      </w:r>
      <w:r w:rsidR="000C0080" w:rsidRPr="008D0295">
        <w:rPr>
          <w:rFonts w:ascii="Arial" w:hAnsi="Arial" w:cs="Arial"/>
        </w:rPr>
        <w:t xml:space="preserve"> and any</w:t>
      </w:r>
      <w:r w:rsidRPr="008D0295">
        <w:rPr>
          <w:rFonts w:ascii="Arial" w:hAnsi="Arial" w:cs="Arial"/>
        </w:rPr>
        <w:t xml:space="preserve"> necessary mitigating actions are outlined in a uniformed way</w:t>
      </w:r>
      <w:r w:rsidR="000C0080" w:rsidRPr="008D0295">
        <w:rPr>
          <w:rFonts w:ascii="Arial" w:hAnsi="Arial" w:cs="Arial"/>
        </w:rPr>
        <w:t>.</w:t>
      </w:r>
    </w:p>
    <w:p w14:paraId="3261C2D4" w14:textId="60308B22" w:rsidR="00097217" w:rsidRPr="008D0295" w:rsidRDefault="00C21A29" w:rsidP="00C21A29">
      <w:r w:rsidRPr="00C21A29">
        <w:rPr>
          <w:rFonts w:ascii="Arial" w:hAnsi="Arial" w:cs="Arial"/>
          <w:color w:val="000000"/>
        </w:rPr>
        <w:t>A QEIA has been conducted for the updated service model for 2024/25. An additional QEIA will be undertaken once the future service model is finalised.</w:t>
      </w:r>
    </w:p>
    <w:p w14:paraId="5497E385" w14:textId="33FCE063" w:rsidR="00715E28" w:rsidRDefault="000452A4" w:rsidP="008D0295">
      <w:pPr>
        <w:pStyle w:val="Heading2"/>
      </w:pPr>
      <w:bookmarkStart w:id="35" w:name="_Toc211436417"/>
      <w:r w:rsidRPr="008D0295">
        <w:t>5.4 Commissioning Guidance for Post (Long) COVID services, for adults, children and young people</w:t>
      </w:r>
      <w:bookmarkEnd w:id="35"/>
      <w:r w:rsidR="00395145" w:rsidRPr="008D0295">
        <w:t xml:space="preserve"> </w:t>
      </w:r>
    </w:p>
    <w:p w14:paraId="3EFCAC21" w14:textId="77777777" w:rsidR="00A72302" w:rsidRDefault="00A72302" w:rsidP="00984DD4">
      <w:pPr>
        <w:jc w:val="both"/>
        <w:rPr>
          <w:rFonts w:ascii="Arial" w:hAnsi="Arial" w:cs="Arial"/>
          <w:color w:val="000000" w:themeColor="text1"/>
        </w:rPr>
      </w:pPr>
    </w:p>
    <w:p w14:paraId="25A72D47" w14:textId="502BE4FD" w:rsidR="004244E1" w:rsidRPr="008D0295" w:rsidRDefault="004244E1" w:rsidP="00984DD4">
      <w:pPr>
        <w:jc w:val="both"/>
        <w:rPr>
          <w:rFonts w:ascii="Arial" w:hAnsi="Arial" w:cs="Arial"/>
          <w:b/>
          <w:bCs/>
          <w:color w:val="000000" w:themeColor="text1"/>
        </w:rPr>
      </w:pPr>
      <w:r w:rsidRPr="008D0295">
        <w:rPr>
          <w:rFonts w:ascii="Arial" w:hAnsi="Arial" w:cs="Arial"/>
          <w:color w:val="000000" w:themeColor="text1"/>
        </w:rPr>
        <w:t xml:space="preserve">NHSE released guidance on the commissioning of </w:t>
      </w:r>
      <w:r w:rsidR="0032210C" w:rsidRPr="008D0295">
        <w:rPr>
          <w:rFonts w:ascii="Arial" w:hAnsi="Arial" w:cs="Arial"/>
          <w:color w:val="000000" w:themeColor="text1"/>
        </w:rPr>
        <w:t>P</w:t>
      </w:r>
      <w:r w:rsidRPr="008D0295">
        <w:rPr>
          <w:rFonts w:ascii="Arial" w:hAnsi="Arial" w:cs="Arial"/>
          <w:color w:val="000000" w:themeColor="text1"/>
        </w:rPr>
        <w:t xml:space="preserve">ost </w:t>
      </w:r>
      <w:r w:rsidR="0032210C" w:rsidRPr="008D0295">
        <w:rPr>
          <w:rFonts w:ascii="Arial" w:hAnsi="Arial" w:cs="Arial"/>
          <w:color w:val="000000" w:themeColor="text1"/>
        </w:rPr>
        <w:t xml:space="preserve">(Long) </w:t>
      </w:r>
      <w:r w:rsidRPr="008D0295">
        <w:rPr>
          <w:rFonts w:ascii="Arial" w:hAnsi="Arial" w:cs="Arial"/>
          <w:color w:val="000000" w:themeColor="text1"/>
        </w:rPr>
        <w:t xml:space="preserve">COVID services by ICBs, ahead of the transition of responsibility from the </w:t>
      </w:r>
      <w:r w:rsidR="0032210C" w:rsidRPr="008D0295">
        <w:rPr>
          <w:rFonts w:ascii="Arial" w:hAnsi="Arial" w:cs="Arial"/>
          <w:color w:val="000000" w:themeColor="text1"/>
        </w:rPr>
        <w:t>Post (L</w:t>
      </w:r>
      <w:r w:rsidRPr="008D0295">
        <w:rPr>
          <w:rFonts w:ascii="Arial" w:hAnsi="Arial" w:cs="Arial"/>
          <w:color w:val="000000" w:themeColor="text1"/>
        </w:rPr>
        <w:t>ong</w:t>
      </w:r>
      <w:r w:rsidR="0032210C" w:rsidRPr="008D0295">
        <w:rPr>
          <w:rFonts w:ascii="Arial" w:hAnsi="Arial" w:cs="Arial"/>
          <w:color w:val="000000" w:themeColor="text1"/>
        </w:rPr>
        <w:t>)</w:t>
      </w:r>
      <w:r w:rsidRPr="008D0295">
        <w:rPr>
          <w:rFonts w:ascii="Arial" w:hAnsi="Arial" w:cs="Arial"/>
          <w:color w:val="000000" w:themeColor="text1"/>
        </w:rPr>
        <w:t xml:space="preserve"> COVID national programme to ICBs in March 2024. The recommendations are as follows: </w:t>
      </w:r>
    </w:p>
    <w:p w14:paraId="678D5CCE" w14:textId="74DF12D0" w:rsidR="000366F2" w:rsidRPr="008D0295" w:rsidRDefault="00087C95" w:rsidP="00984DD4">
      <w:pPr>
        <w:jc w:val="both"/>
        <w:rPr>
          <w:rFonts w:ascii="Arial" w:hAnsi="Arial" w:cs="Arial"/>
          <w:b/>
          <w:bCs/>
          <w:color w:val="000000" w:themeColor="text1"/>
        </w:rPr>
      </w:pPr>
      <w:r w:rsidRPr="008D0295">
        <w:rPr>
          <w:rFonts w:ascii="Arial" w:hAnsi="Arial" w:cs="Arial"/>
          <w:b/>
          <w:bCs/>
          <w:color w:val="000000" w:themeColor="text1"/>
        </w:rPr>
        <w:t xml:space="preserve">Governance and </w:t>
      </w:r>
      <w:r w:rsidR="00C21A29">
        <w:rPr>
          <w:rFonts w:ascii="Arial" w:hAnsi="Arial" w:cs="Arial"/>
          <w:b/>
          <w:bCs/>
          <w:color w:val="000000" w:themeColor="text1"/>
        </w:rPr>
        <w:t>L</w:t>
      </w:r>
      <w:r w:rsidRPr="008D0295">
        <w:rPr>
          <w:rFonts w:ascii="Arial" w:hAnsi="Arial" w:cs="Arial"/>
          <w:b/>
          <w:bCs/>
          <w:color w:val="000000" w:themeColor="text1"/>
        </w:rPr>
        <w:t>eadership</w:t>
      </w:r>
    </w:p>
    <w:p w14:paraId="47F7D3ED" w14:textId="2026F228" w:rsidR="00087C95" w:rsidRPr="008D0295" w:rsidRDefault="00087C95" w:rsidP="007645CC">
      <w:pPr>
        <w:pStyle w:val="ListParagraph"/>
        <w:numPr>
          <w:ilvl w:val="0"/>
          <w:numId w:val="17"/>
        </w:numPr>
        <w:jc w:val="both"/>
        <w:rPr>
          <w:rFonts w:ascii="Arial" w:hAnsi="Arial" w:cs="Arial"/>
          <w:b/>
          <w:bCs/>
          <w:color w:val="000000" w:themeColor="text1"/>
        </w:rPr>
      </w:pPr>
      <w:r w:rsidRPr="008D0295">
        <w:rPr>
          <w:rFonts w:ascii="Arial" w:hAnsi="Arial" w:cs="Arial"/>
          <w:color w:val="000000" w:themeColor="text1"/>
        </w:rPr>
        <w:t xml:space="preserve">Establishment of an ICS-based Post (Long) COVID steering function accountable to the ICB, with a named ICB lead to oversee delivery of Post (Long) COVID services and ensure appropriate reporting, escalation, and assurance mechanisms. </w:t>
      </w:r>
    </w:p>
    <w:p w14:paraId="0BC6B472" w14:textId="68465CFC" w:rsidR="003A306C" w:rsidRPr="008D0295" w:rsidRDefault="00087C95" w:rsidP="007645CC">
      <w:pPr>
        <w:pStyle w:val="ListParagraph"/>
        <w:numPr>
          <w:ilvl w:val="0"/>
          <w:numId w:val="17"/>
        </w:numPr>
        <w:jc w:val="both"/>
        <w:rPr>
          <w:rFonts w:ascii="Arial" w:eastAsia="Times New Roman" w:hAnsi="Arial" w:cs="Arial"/>
          <w:color w:val="202A30"/>
          <w:lang w:eastAsia="en-GB"/>
        </w:rPr>
      </w:pPr>
      <w:r w:rsidRPr="008D0295">
        <w:rPr>
          <w:rFonts w:ascii="Arial" w:hAnsi="Arial" w:cs="Arial"/>
          <w:color w:val="000000" w:themeColor="text1"/>
        </w:rPr>
        <w:t xml:space="preserve">Provision of strategic clinical leadership and guidance with clinicians involved in the planning, delivery, and transformation of services. </w:t>
      </w:r>
    </w:p>
    <w:p w14:paraId="4A3586E8" w14:textId="7A1E8F71" w:rsidR="000366F2" w:rsidRPr="008D0295" w:rsidRDefault="000366F2" w:rsidP="00984DD4">
      <w:pPr>
        <w:jc w:val="both"/>
        <w:rPr>
          <w:rFonts w:ascii="Arial" w:hAnsi="Arial" w:cs="Arial"/>
          <w:b/>
          <w:bCs/>
          <w:color w:val="000000" w:themeColor="text1"/>
        </w:rPr>
      </w:pPr>
      <w:r w:rsidRPr="008D0295">
        <w:rPr>
          <w:rFonts w:ascii="Arial" w:hAnsi="Arial" w:cs="Arial"/>
          <w:b/>
          <w:bCs/>
          <w:color w:val="000000" w:themeColor="text1"/>
        </w:rPr>
        <w:t>Finance and Contracting</w:t>
      </w:r>
    </w:p>
    <w:p w14:paraId="38A6AA08" w14:textId="2CE1B491" w:rsidR="003A306C" w:rsidRPr="008D0295" w:rsidRDefault="004244E1" w:rsidP="007645CC">
      <w:pPr>
        <w:pStyle w:val="ListParagraph"/>
        <w:numPr>
          <w:ilvl w:val="0"/>
          <w:numId w:val="2"/>
        </w:numPr>
        <w:jc w:val="both"/>
        <w:rPr>
          <w:rFonts w:ascii="Arial" w:hAnsi="Arial" w:cs="Arial"/>
          <w:b/>
          <w:bCs/>
          <w:color w:val="000000" w:themeColor="text1"/>
        </w:rPr>
      </w:pPr>
      <w:r w:rsidRPr="008D0295">
        <w:rPr>
          <w:rFonts w:ascii="Arial" w:hAnsi="Arial" w:cs="Arial"/>
          <w:color w:val="000000" w:themeColor="text1"/>
        </w:rPr>
        <w:t xml:space="preserve">Commissioning of </w:t>
      </w:r>
      <w:r w:rsidR="0032210C" w:rsidRPr="008D0295">
        <w:rPr>
          <w:rFonts w:ascii="Arial" w:hAnsi="Arial" w:cs="Arial"/>
          <w:color w:val="000000" w:themeColor="text1"/>
        </w:rPr>
        <w:t>P</w:t>
      </w:r>
      <w:r w:rsidRPr="008D0295">
        <w:rPr>
          <w:rFonts w:ascii="Arial" w:hAnsi="Arial" w:cs="Arial"/>
          <w:color w:val="000000" w:themeColor="text1"/>
        </w:rPr>
        <w:t>ost</w:t>
      </w:r>
      <w:r w:rsidR="0032210C" w:rsidRPr="008D0295">
        <w:rPr>
          <w:rFonts w:ascii="Arial" w:hAnsi="Arial" w:cs="Arial"/>
          <w:color w:val="000000" w:themeColor="text1"/>
        </w:rPr>
        <w:t xml:space="preserve"> (Long) </w:t>
      </w:r>
      <w:r w:rsidRPr="008D0295">
        <w:rPr>
          <w:rFonts w:ascii="Arial" w:hAnsi="Arial" w:cs="Arial"/>
          <w:color w:val="000000" w:themeColor="text1"/>
        </w:rPr>
        <w:t xml:space="preserve">COVID services transitioned to ICBs in March 2024. </w:t>
      </w:r>
      <w:r w:rsidR="0018733A" w:rsidRPr="008D0295">
        <w:rPr>
          <w:rFonts w:ascii="Arial" w:hAnsi="Arial" w:cs="Arial"/>
          <w:color w:val="000000" w:themeColor="text1"/>
        </w:rPr>
        <w:t xml:space="preserve">NHSE confirmed in January 2024 that funding for the adult </w:t>
      </w:r>
      <w:r w:rsidR="0032210C" w:rsidRPr="008D0295">
        <w:rPr>
          <w:rFonts w:ascii="Arial" w:hAnsi="Arial" w:cs="Arial"/>
          <w:color w:val="000000" w:themeColor="text1"/>
        </w:rPr>
        <w:t>P</w:t>
      </w:r>
      <w:r w:rsidR="0018733A" w:rsidRPr="008D0295">
        <w:rPr>
          <w:rFonts w:ascii="Arial" w:hAnsi="Arial" w:cs="Arial"/>
          <w:color w:val="000000" w:themeColor="text1"/>
        </w:rPr>
        <w:t xml:space="preserve">ost </w:t>
      </w:r>
      <w:r w:rsidR="0032210C" w:rsidRPr="008D0295">
        <w:rPr>
          <w:rFonts w:ascii="Arial" w:hAnsi="Arial" w:cs="Arial"/>
          <w:color w:val="000000" w:themeColor="text1"/>
        </w:rPr>
        <w:t xml:space="preserve">(Long) </w:t>
      </w:r>
      <w:r w:rsidR="0018733A" w:rsidRPr="008D0295">
        <w:rPr>
          <w:rFonts w:ascii="Arial" w:hAnsi="Arial" w:cs="Arial"/>
          <w:color w:val="000000" w:themeColor="text1"/>
        </w:rPr>
        <w:t>COVID services would be included in ICB baseline funding as recurrent, at the same levels as 2023/24</w:t>
      </w:r>
      <w:r w:rsidR="00C21A29">
        <w:rPr>
          <w:rFonts w:ascii="Arial" w:hAnsi="Arial" w:cs="Arial"/>
          <w:color w:val="000000" w:themeColor="text1"/>
        </w:rPr>
        <w:t>.</w:t>
      </w:r>
    </w:p>
    <w:p w14:paraId="48CB3DFA" w14:textId="3547F3E1" w:rsidR="003A306C" w:rsidRPr="008D0295" w:rsidRDefault="003A306C" w:rsidP="003A306C">
      <w:pPr>
        <w:jc w:val="both"/>
        <w:rPr>
          <w:rFonts w:ascii="Arial" w:hAnsi="Arial" w:cs="Arial"/>
          <w:color w:val="000000" w:themeColor="text1"/>
        </w:rPr>
      </w:pPr>
      <w:r w:rsidRPr="008D0295">
        <w:rPr>
          <w:rFonts w:ascii="Arial" w:hAnsi="Arial" w:cs="Arial"/>
          <w:b/>
          <w:bCs/>
          <w:color w:val="000000" w:themeColor="text1"/>
        </w:rPr>
        <w:t xml:space="preserve">Population Health Management </w:t>
      </w:r>
    </w:p>
    <w:p w14:paraId="41C7FD6F" w14:textId="3BE578C4" w:rsidR="00304203" w:rsidRPr="008D0295" w:rsidRDefault="00304203" w:rsidP="007645CC">
      <w:pPr>
        <w:pStyle w:val="ListParagraph"/>
        <w:numPr>
          <w:ilvl w:val="0"/>
          <w:numId w:val="2"/>
        </w:numPr>
        <w:jc w:val="both"/>
        <w:rPr>
          <w:rFonts w:ascii="Arial" w:hAnsi="Arial" w:cs="Arial"/>
          <w:color w:val="000000" w:themeColor="text1"/>
        </w:rPr>
      </w:pPr>
      <w:r w:rsidRPr="008D0295">
        <w:rPr>
          <w:rFonts w:ascii="Arial" w:hAnsi="Arial" w:cs="Arial"/>
          <w:color w:val="000000" w:themeColor="text1"/>
        </w:rPr>
        <w:lastRenderedPageBreak/>
        <w:t>Alignment of ICB governance for Post (Long) COVID services with population health management for people with multi-system L</w:t>
      </w:r>
      <w:r w:rsidR="00A72302">
        <w:rPr>
          <w:rFonts w:ascii="Arial" w:hAnsi="Arial" w:cs="Arial"/>
          <w:color w:val="000000" w:themeColor="text1"/>
        </w:rPr>
        <w:t xml:space="preserve">ong </w:t>
      </w:r>
      <w:r w:rsidRPr="008D0295">
        <w:rPr>
          <w:rFonts w:ascii="Arial" w:hAnsi="Arial" w:cs="Arial"/>
          <w:color w:val="000000" w:themeColor="text1"/>
        </w:rPr>
        <w:t>T</w:t>
      </w:r>
      <w:r w:rsidR="00A72302">
        <w:rPr>
          <w:rFonts w:ascii="Arial" w:hAnsi="Arial" w:cs="Arial"/>
          <w:color w:val="000000" w:themeColor="text1"/>
        </w:rPr>
        <w:t xml:space="preserve">erm </w:t>
      </w:r>
      <w:r w:rsidRPr="008D0295">
        <w:rPr>
          <w:rFonts w:ascii="Arial" w:hAnsi="Arial" w:cs="Arial"/>
          <w:color w:val="000000" w:themeColor="text1"/>
        </w:rPr>
        <w:t>C</w:t>
      </w:r>
      <w:r w:rsidR="00A72302">
        <w:rPr>
          <w:rFonts w:ascii="Arial" w:hAnsi="Arial" w:cs="Arial"/>
          <w:color w:val="000000" w:themeColor="text1"/>
        </w:rPr>
        <w:t>ondition</w:t>
      </w:r>
      <w:r w:rsidRPr="008D0295">
        <w:rPr>
          <w:rFonts w:ascii="Arial" w:hAnsi="Arial" w:cs="Arial"/>
          <w:color w:val="000000" w:themeColor="text1"/>
        </w:rPr>
        <w:t xml:space="preserve">s and the consideration of opportunities for care provision for people with similar patient needs. </w:t>
      </w:r>
    </w:p>
    <w:p w14:paraId="50444907" w14:textId="3149AA54" w:rsidR="000366F2" w:rsidRPr="008D0295" w:rsidRDefault="000366F2" w:rsidP="00984DD4">
      <w:pPr>
        <w:jc w:val="both"/>
        <w:rPr>
          <w:rFonts w:ascii="Arial" w:hAnsi="Arial" w:cs="Arial"/>
          <w:b/>
          <w:bCs/>
          <w:color w:val="000000" w:themeColor="text1"/>
        </w:rPr>
      </w:pPr>
      <w:r w:rsidRPr="008D0295">
        <w:rPr>
          <w:rFonts w:ascii="Arial" w:hAnsi="Arial" w:cs="Arial"/>
          <w:b/>
          <w:bCs/>
          <w:color w:val="000000" w:themeColor="text1"/>
        </w:rPr>
        <w:t>Data and Coding</w:t>
      </w:r>
    </w:p>
    <w:p w14:paraId="772AF08B" w14:textId="6CC46690" w:rsidR="00543C2B" w:rsidRPr="008D0295" w:rsidRDefault="00543C2B" w:rsidP="007645CC">
      <w:pPr>
        <w:pStyle w:val="ListParagraph"/>
        <w:numPr>
          <w:ilvl w:val="0"/>
          <w:numId w:val="3"/>
        </w:numPr>
        <w:jc w:val="both"/>
        <w:rPr>
          <w:rFonts w:ascii="Arial" w:hAnsi="Arial" w:cs="Arial"/>
          <w:color w:val="000000" w:themeColor="text1"/>
        </w:rPr>
      </w:pPr>
      <w:r w:rsidRPr="008D0295">
        <w:rPr>
          <w:rFonts w:ascii="Arial" w:hAnsi="Arial" w:cs="Arial"/>
          <w:color w:val="000000" w:themeColor="text1"/>
        </w:rPr>
        <w:t xml:space="preserve">Data capture </w:t>
      </w:r>
      <w:r w:rsidR="00275724" w:rsidRPr="008D0295">
        <w:rPr>
          <w:rFonts w:ascii="Arial" w:hAnsi="Arial" w:cs="Arial"/>
          <w:color w:val="000000" w:themeColor="text1"/>
        </w:rPr>
        <w:t>is required to ensure t</w:t>
      </w:r>
      <w:r w:rsidRPr="008D0295">
        <w:rPr>
          <w:rFonts w:ascii="Arial" w:hAnsi="Arial" w:cs="Arial"/>
          <w:color w:val="000000" w:themeColor="text1"/>
        </w:rPr>
        <w:t>he totality of the interventions is understood and bottlenecks identified</w:t>
      </w:r>
      <w:r w:rsidR="00275724" w:rsidRPr="008D0295">
        <w:rPr>
          <w:rFonts w:ascii="Arial" w:hAnsi="Arial" w:cs="Arial"/>
          <w:color w:val="000000" w:themeColor="text1"/>
        </w:rPr>
        <w:t xml:space="preserve">.  Continue to report data as per </w:t>
      </w:r>
      <w:r w:rsidRPr="008D0295">
        <w:rPr>
          <w:rFonts w:ascii="Arial" w:hAnsi="Arial" w:cs="Arial"/>
          <w:color w:val="000000" w:themeColor="text1"/>
        </w:rPr>
        <w:t>National, Regional and ICB expectations through agreed platforms</w:t>
      </w:r>
      <w:r w:rsidR="00275724" w:rsidRPr="008D0295">
        <w:rPr>
          <w:rFonts w:ascii="Arial" w:hAnsi="Arial" w:cs="Arial"/>
          <w:color w:val="000000" w:themeColor="text1"/>
        </w:rPr>
        <w:t xml:space="preserve">.  </w:t>
      </w:r>
    </w:p>
    <w:p w14:paraId="18DFF2CB" w14:textId="43163962" w:rsidR="00543C2B" w:rsidRPr="008D0295" w:rsidRDefault="00C21A29" w:rsidP="00C21A29">
      <w:pPr>
        <w:pStyle w:val="ListParagraph"/>
        <w:numPr>
          <w:ilvl w:val="0"/>
          <w:numId w:val="3"/>
        </w:numPr>
      </w:pPr>
      <w:r w:rsidRPr="00C21A29">
        <w:rPr>
          <w:rFonts w:ascii="Arial" w:hAnsi="Arial" w:cs="Arial"/>
          <w:color w:val="000000"/>
        </w:rPr>
        <w:t xml:space="preserve">Continued collection and analysis of outcome measures is recommended </w:t>
      </w:r>
      <w:proofErr w:type="gramStart"/>
      <w:r w:rsidRPr="00C21A29">
        <w:rPr>
          <w:rFonts w:ascii="Arial" w:hAnsi="Arial" w:cs="Arial"/>
          <w:color w:val="000000"/>
        </w:rPr>
        <w:t>in order to</w:t>
      </w:r>
      <w:proofErr w:type="gramEnd"/>
      <w:r w:rsidRPr="00C21A29">
        <w:rPr>
          <w:rFonts w:ascii="Arial" w:hAnsi="Arial" w:cs="Arial"/>
          <w:color w:val="000000"/>
        </w:rPr>
        <w:t xml:space="preserve"> assess the effectiveness of pathways and better understand the condition, including how interventions or management influence patient progress and recovery.</w:t>
      </w:r>
    </w:p>
    <w:p w14:paraId="4702BA13" w14:textId="3592062E" w:rsidR="000366F2" w:rsidRPr="008D0295" w:rsidRDefault="000366F2" w:rsidP="00984DD4">
      <w:pPr>
        <w:jc w:val="both"/>
        <w:rPr>
          <w:rFonts w:ascii="Arial" w:hAnsi="Arial" w:cs="Arial"/>
          <w:b/>
          <w:bCs/>
          <w:color w:val="000000" w:themeColor="text1"/>
        </w:rPr>
      </w:pPr>
      <w:r w:rsidRPr="008D0295">
        <w:rPr>
          <w:rFonts w:ascii="Arial" w:hAnsi="Arial" w:cs="Arial"/>
          <w:b/>
          <w:bCs/>
          <w:color w:val="000000" w:themeColor="text1"/>
        </w:rPr>
        <w:t xml:space="preserve">Maintaining </w:t>
      </w:r>
      <w:r w:rsidR="001818A2">
        <w:rPr>
          <w:rFonts w:ascii="Arial" w:hAnsi="Arial" w:cs="Arial"/>
          <w:b/>
          <w:bCs/>
          <w:color w:val="000000" w:themeColor="text1"/>
        </w:rPr>
        <w:t>Q</w:t>
      </w:r>
      <w:r w:rsidRPr="008D0295">
        <w:rPr>
          <w:rFonts w:ascii="Arial" w:hAnsi="Arial" w:cs="Arial"/>
          <w:b/>
          <w:bCs/>
          <w:color w:val="000000" w:themeColor="text1"/>
        </w:rPr>
        <w:t xml:space="preserve">uality and </w:t>
      </w:r>
      <w:r w:rsidR="00377843" w:rsidRPr="008D0295">
        <w:rPr>
          <w:rFonts w:ascii="Arial" w:hAnsi="Arial" w:cs="Arial"/>
          <w:b/>
          <w:bCs/>
          <w:color w:val="000000" w:themeColor="text1"/>
        </w:rPr>
        <w:t>C</w:t>
      </w:r>
      <w:r w:rsidRPr="008D0295">
        <w:rPr>
          <w:rFonts w:ascii="Arial" w:hAnsi="Arial" w:cs="Arial"/>
          <w:b/>
          <w:bCs/>
          <w:color w:val="000000" w:themeColor="text1"/>
        </w:rPr>
        <w:t xml:space="preserve">linical </w:t>
      </w:r>
      <w:r w:rsidR="00377843" w:rsidRPr="008D0295">
        <w:rPr>
          <w:rFonts w:ascii="Arial" w:hAnsi="Arial" w:cs="Arial"/>
          <w:b/>
          <w:bCs/>
          <w:color w:val="000000" w:themeColor="text1"/>
        </w:rPr>
        <w:t>S</w:t>
      </w:r>
      <w:r w:rsidRPr="008D0295">
        <w:rPr>
          <w:rFonts w:ascii="Arial" w:hAnsi="Arial" w:cs="Arial"/>
          <w:b/>
          <w:bCs/>
          <w:color w:val="000000" w:themeColor="text1"/>
        </w:rPr>
        <w:t>tandards</w:t>
      </w:r>
      <w:r w:rsidR="00B976B0" w:rsidRPr="008D0295">
        <w:rPr>
          <w:rFonts w:ascii="Arial" w:hAnsi="Arial" w:cs="Arial"/>
          <w:b/>
          <w:bCs/>
          <w:color w:val="000000" w:themeColor="text1"/>
        </w:rPr>
        <w:t xml:space="preserve"> </w:t>
      </w:r>
    </w:p>
    <w:p w14:paraId="68235E42" w14:textId="46E754B9" w:rsidR="004244E1" w:rsidRPr="008D0295" w:rsidRDefault="004244E1" w:rsidP="007645CC">
      <w:pPr>
        <w:pStyle w:val="ListParagraph"/>
        <w:numPr>
          <w:ilvl w:val="0"/>
          <w:numId w:val="4"/>
        </w:numPr>
        <w:jc w:val="both"/>
        <w:rPr>
          <w:rFonts w:ascii="Arial" w:hAnsi="Arial" w:cs="Arial"/>
          <w:color w:val="000000" w:themeColor="text1"/>
        </w:rPr>
      </w:pPr>
      <w:r w:rsidRPr="008D0295">
        <w:rPr>
          <w:rFonts w:ascii="Arial" w:hAnsi="Arial" w:cs="Arial"/>
          <w:color w:val="000000" w:themeColor="text1"/>
        </w:rPr>
        <w:t xml:space="preserve">Guidance recommends that access to multidisciplinary services is provided for assessing physical and mental health symptoms </w:t>
      </w:r>
      <w:r w:rsidR="00976520" w:rsidRPr="008D0295">
        <w:rPr>
          <w:rFonts w:ascii="Arial" w:hAnsi="Arial" w:cs="Arial"/>
          <w:color w:val="000000" w:themeColor="text1"/>
        </w:rPr>
        <w:t xml:space="preserve">and carrying out further tests and investigations. </w:t>
      </w:r>
    </w:p>
    <w:p w14:paraId="49DEEF2E" w14:textId="3E03EEE0" w:rsidR="00976520" w:rsidRPr="008D0295" w:rsidRDefault="00976520" w:rsidP="007645CC">
      <w:pPr>
        <w:pStyle w:val="ListParagraph"/>
        <w:numPr>
          <w:ilvl w:val="0"/>
          <w:numId w:val="4"/>
        </w:numPr>
        <w:jc w:val="both"/>
        <w:rPr>
          <w:rFonts w:ascii="Arial" w:hAnsi="Arial" w:cs="Arial"/>
          <w:color w:val="000000" w:themeColor="text1"/>
        </w:rPr>
      </w:pPr>
      <w:r w:rsidRPr="008D0295">
        <w:rPr>
          <w:rFonts w:ascii="Arial" w:hAnsi="Arial" w:cs="Arial"/>
          <w:color w:val="000000" w:themeColor="text1"/>
        </w:rPr>
        <w:t>These should be led by a doctor with relevant skills and experience</w:t>
      </w:r>
      <w:r w:rsidR="001818A2">
        <w:rPr>
          <w:rFonts w:ascii="Arial" w:hAnsi="Arial" w:cs="Arial"/>
          <w:color w:val="000000" w:themeColor="text1"/>
        </w:rPr>
        <w:t>,</w:t>
      </w:r>
      <w:r w:rsidRPr="008D0295">
        <w:rPr>
          <w:rFonts w:ascii="Arial" w:hAnsi="Arial" w:cs="Arial"/>
          <w:color w:val="000000" w:themeColor="text1"/>
        </w:rPr>
        <w:t xml:space="preserve"> and appropriate specialist support, considering the variety of presenting symptoms. </w:t>
      </w:r>
    </w:p>
    <w:p w14:paraId="00C2CDA9" w14:textId="4C5D4DEF" w:rsidR="00976520" w:rsidRPr="008D0295" w:rsidRDefault="00976520" w:rsidP="007645CC">
      <w:pPr>
        <w:pStyle w:val="ListParagraph"/>
        <w:numPr>
          <w:ilvl w:val="0"/>
          <w:numId w:val="4"/>
        </w:numPr>
        <w:jc w:val="both"/>
        <w:rPr>
          <w:rFonts w:ascii="Arial" w:hAnsi="Arial" w:cs="Arial"/>
          <w:color w:val="000000" w:themeColor="text1"/>
        </w:rPr>
      </w:pPr>
      <w:r w:rsidRPr="008D0295">
        <w:rPr>
          <w:rFonts w:ascii="Arial" w:hAnsi="Arial" w:cs="Arial"/>
          <w:color w:val="000000" w:themeColor="text1"/>
        </w:rPr>
        <w:t>Post</w:t>
      </w:r>
      <w:r w:rsidR="0032210C" w:rsidRPr="008D0295">
        <w:rPr>
          <w:rFonts w:ascii="Arial" w:hAnsi="Arial" w:cs="Arial"/>
          <w:color w:val="000000" w:themeColor="text1"/>
        </w:rPr>
        <w:t xml:space="preserve"> (Long) </w:t>
      </w:r>
      <w:r w:rsidRPr="008D0295">
        <w:rPr>
          <w:rFonts w:ascii="Arial" w:hAnsi="Arial" w:cs="Arial"/>
          <w:color w:val="000000" w:themeColor="text1"/>
        </w:rPr>
        <w:t>COVID services should comprise an integrated pathway of assessment, medical treatment and multifaceted rehabilitation, including psychology with direct access to required diagnostics.</w:t>
      </w:r>
    </w:p>
    <w:p w14:paraId="57208896" w14:textId="0AD3F791" w:rsidR="00976520" w:rsidRPr="008D0295" w:rsidRDefault="000F1F34" w:rsidP="007645CC">
      <w:pPr>
        <w:pStyle w:val="ListParagraph"/>
        <w:numPr>
          <w:ilvl w:val="0"/>
          <w:numId w:val="4"/>
        </w:numPr>
        <w:jc w:val="both"/>
        <w:rPr>
          <w:rFonts w:ascii="Arial" w:hAnsi="Arial" w:cs="Arial"/>
          <w:color w:val="000000" w:themeColor="text1"/>
        </w:rPr>
      </w:pPr>
      <w:r w:rsidRPr="008D0295">
        <w:rPr>
          <w:rFonts w:ascii="Arial" w:hAnsi="Arial" w:cs="Arial"/>
          <w:color w:val="000000" w:themeColor="text1"/>
        </w:rPr>
        <w:t>Multidisciplinary teams (MDTs) to bring specialist medical, nursing, and allied health professional (AHP) input to community-based case management without multiple separate referrals.</w:t>
      </w:r>
    </w:p>
    <w:p w14:paraId="395E387A" w14:textId="37EFCAE3" w:rsidR="004B2ECC" w:rsidRPr="008D0295" w:rsidRDefault="000F1F34" w:rsidP="007645CC">
      <w:pPr>
        <w:pStyle w:val="ListParagraph"/>
        <w:numPr>
          <w:ilvl w:val="0"/>
          <w:numId w:val="5"/>
        </w:numPr>
        <w:jc w:val="both"/>
        <w:rPr>
          <w:rFonts w:ascii="Arial" w:hAnsi="Arial" w:cs="Arial"/>
          <w:color w:val="000000" w:themeColor="text1"/>
        </w:rPr>
      </w:pPr>
      <w:r w:rsidRPr="008D0295">
        <w:rPr>
          <w:rFonts w:ascii="Arial" w:eastAsia="Times New Roman" w:hAnsi="Arial" w:cs="Arial"/>
          <w:color w:val="202A30"/>
          <w:bdr w:val="none" w:sz="0" w:space="0" w:color="auto" w:frame="1"/>
          <w:lang w:eastAsia="en-GB"/>
        </w:rPr>
        <w:t>Delivery of needs/symptom-based rehabilitation</w:t>
      </w:r>
      <w:r w:rsidRPr="008D0295">
        <w:rPr>
          <w:rFonts w:ascii="Arial" w:eastAsia="Times New Roman" w:hAnsi="Arial" w:cs="Arial"/>
          <w:color w:val="202A30"/>
          <w:lang w:eastAsia="en-GB"/>
        </w:rPr>
        <w:t> by a broad multi-professional team, to include management of breathlessness and fatigue, physical rehabilitation, management of dysautonomia symptoms, management of pain, educational support and vocational rehabilitation.</w:t>
      </w:r>
    </w:p>
    <w:p w14:paraId="501E491F" w14:textId="716B385D" w:rsidR="000F1F34" w:rsidRPr="008D0295" w:rsidRDefault="000F1F34" w:rsidP="007645CC">
      <w:pPr>
        <w:pStyle w:val="ListParagraph"/>
        <w:numPr>
          <w:ilvl w:val="0"/>
          <w:numId w:val="5"/>
        </w:numPr>
        <w:jc w:val="both"/>
        <w:rPr>
          <w:rFonts w:ascii="Arial" w:hAnsi="Arial" w:cs="Arial"/>
          <w:color w:val="000000" w:themeColor="text1"/>
        </w:rPr>
      </w:pPr>
      <w:r w:rsidRPr="008D0295">
        <w:rPr>
          <w:rFonts w:ascii="Arial" w:hAnsi="Arial" w:cs="Arial"/>
          <w:color w:val="000000" w:themeColor="text1"/>
        </w:rPr>
        <w:t xml:space="preserve">Referral pathways into and from specialist services such as secondary care, mental health services, the VCSE sector as needed. </w:t>
      </w:r>
    </w:p>
    <w:p w14:paraId="72B51A4F" w14:textId="0B410827" w:rsidR="003A306C" w:rsidRPr="008D0295" w:rsidRDefault="000F1F34" w:rsidP="007645CC">
      <w:pPr>
        <w:pStyle w:val="ListParagraph"/>
        <w:numPr>
          <w:ilvl w:val="0"/>
          <w:numId w:val="5"/>
        </w:numPr>
        <w:jc w:val="both"/>
        <w:rPr>
          <w:rFonts w:ascii="Arial" w:hAnsi="Arial" w:cs="Arial"/>
          <w:b/>
          <w:bCs/>
          <w:color w:val="000000" w:themeColor="text1"/>
        </w:rPr>
      </w:pPr>
      <w:r w:rsidRPr="008D0295">
        <w:rPr>
          <w:rFonts w:ascii="Arial" w:hAnsi="Arial" w:cs="Arial"/>
          <w:color w:val="000000" w:themeColor="text1"/>
        </w:rPr>
        <w:t xml:space="preserve">Provision of a self-management plan on discharge. Options for in-person and virtual support as per clinical need and patient preference. </w:t>
      </w:r>
    </w:p>
    <w:p w14:paraId="322CD995" w14:textId="0E232B7E" w:rsidR="000452A4" w:rsidRPr="008D0295" w:rsidRDefault="000452A4" w:rsidP="000452A4">
      <w:pPr>
        <w:jc w:val="both"/>
        <w:rPr>
          <w:rFonts w:ascii="Arial" w:hAnsi="Arial" w:cs="Arial"/>
          <w:b/>
          <w:bCs/>
          <w:color w:val="000000" w:themeColor="text1"/>
        </w:rPr>
      </w:pPr>
      <w:r w:rsidRPr="008D0295">
        <w:rPr>
          <w:rFonts w:ascii="Arial" w:hAnsi="Arial" w:cs="Arial"/>
          <w:b/>
          <w:bCs/>
          <w:color w:val="000000" w:themeColor="text1"/>
        </w:rPr>
        <w:t xml:space="preserve">Outcomes </w:t>
      </w:r>
    </w:p>
    <w:p w14:paraId="01FF3204" w14:textId="77777777" w:rsidR="000452A4" w:rsidRPr="008D0295" w:rsidRDefault="000452A4" w:rsidP="007645CC">
      <w:pPr>
        <w:pStyle w:val="ListParagraph"/>
        <w:numPr>
          <w:ilvl w:val="0"/>
          <w:numId w:val="28"/>
        </w:numPr>
        <w:jc w:val="both"/>
        <w:rPr>
          <w:rFonts w:ascii="Arial" w:hAnsi="Arial" w:cs="Arial"/>
          <w:color w:val="000000" w:themeColor="text1"/>
        </w:rPr>
      </w:pPr>
      <w:r w:rsidRPr="008D0295">
        <w:rPr>
          <w:rFonts w:ascii="Arial" w:hAnsi="Arial" w:cs="Arial"/>
          <w:color w:val="000000" w:themeColor="text1"/>
        </w:rPr>
        <w:t xml:space="preserve">Adult and CYP services in primary care, secondary care and specialist services should collect and analyse patient-reported outcome measures, clinical measurements and patient reported experience measures to help monitor patient progress, facilitate communication between professionals and improve the quality of services. </w:t>
      </w:r>
    </w:p>
    <w:p w14:paraId="570EA7C6" w14:textId="1C01895B" w:rsidR="00DB38CB" w:rsidRPr="008D0295" w:rsidRDefault="000F1F34" w:rsidP="007645CC">
      <w:pPr>
        <w:pStyle w:val="ListParagraph"/>
        <w:numPr>
          <w:ilvl w:val="0"/>
          <w:numId w:val="28"/>
        </w:numPr>
        <w:jc w:val="both"/>
        <w:rPr>
          <w:rFonts w:ascii="Arial" w:hAnsi="Arial" w:cs="Arial"/>
          <w:color w:val="000000" w:themeColor="text1"/>
        </w:rPr>
      </w:pPr>
      <w:r w:rsidRPr="008D0295">
        <w:rPr>
          <w:rFonts w:ascii="Arial" w:hAnsi="Arial" w:cs="Arial"/>
          <w:color w:val="202A30"/>
        </w:rPr>
        <w:t xml:space="preserve">Data also contributes to the evidence base on the management of </w:t>
      </w:r>
      <w:r w:rsidR="0032210C" w:rsidRPr="008D0295">
        <w:rPr>
          <w:rFonts w:ascii="Arial" w:hAnsi="Arial" w:cs="Arial"/>
          <w:color w:val="202A30"/>
        </w:rPr>
        <w:t>Post (L</w:t>
      </w:r>
      <w:r w:rsidRPr="008D0295">
        <w:rPr>
          <w:rFonts w:ascii="Arial" w:hAnsi="Arial" w:cs="Arial"/>
          <w:color w:val="202A30"/>
        </w:rPr>
        <w:t>ong</w:t>
      </w:r>
      <w:r w:rsidR="0032210C" w:rsidRPr="008D0295">
        <w:rPr>
          <w:rFonts w:ascii="Arial" w:hAnsi="Arial" w:cs="Arial"/>
          <w:color w:val="202A30"/>
        </w:rPr>
        <w:t>)</w:t>
      </w:r>
      <w:r w:rsidRPr="008D0295">
        <w:rPr>
          <w:rFonts w:ascii="Arial" w:hAnsi="Arial" w:cs="Arial"/>
          <w:color w:val="202A30"/>
        </w:rPr>
        <w:t xml:space="preserve"> COVID efforts to reduce unwarranted variation in </w:t>
      </w:r>
      <w:r w:rsidR="0032210C" w:rsidRPr="008D0295">
        <w:rPr>
          <w:rFonts w:ascii="Arial" w:hAnsi="Arial" w:cs="Arial"/>
          <w:color w:val="202A30"/>
        </w:rPr>
        <w:t>P</w:t>
      </w:r>
      <w:r w:rsidRPr="008D0295">
        <w:rPr>
          <w:rFonts w:ascii="Arial" w:hAnsi="Arial" w:cs="Arial"/>
          <w:color w:val="202A30"/>
        </w:rPr>
        <w:t>ost</w:t>
      </w:r>
      <w:r w:rsidR="0032210C" w:rsidRPr="008D0295">
        <w:rPr>
          <w:rFonts w:ascii="Arial" w:hAnsi="Arial" w:cs="Arial"/>
          <w:color w:val="202A30"/>
        </w:rPr>
        <w:t xml:space="preserve"> (Long) </w:t>
      </w:r>
      <w:r w:rsidRPr="008D0295">
        <w:rPr>
          <w:rFonts w:ascii="Arial" w:hAnsi="Arial" w:cs="Arial"/>
          <w:color w:val="202A30"/>
        </w:rPr>
        <w:t>COVID services.</w:t>
      </w:r>
    </w:p>
    <w:p w14:paraId="313067A5" w14:textId="1977F2DE" w:rsidR="000452A4" w:rsidRPr="008D0295" w:rsidRDefault="008D0295" w:rsidP="008D0295">
      <w:pPr>
        <w:pStyle w:val="Heading1"/>
      </w:pPr>
      <w:bookmarkStart w:id="36" w:name="_Toc211436418"/>
      <w:r w:rsidRPr="008D0295">
        <w:t>Section 6: Vision and Next Steps</w:t>
      </w:r>
      <w:bookmarkEnd w:id="36"/>
    </w:p>
    <w:p w14:paraId="27BE9D63" w14:textId="77777777" w:rsidR="008D0295" w:rsidRDefault="008D0295" w:rsidP="000452A4">
      <w:pPr>
        <w:jc w:val="both"/>
        <w:rPr>
          <w:rFonts w:ascii="Arial" w:hAnsi="Arial" w:cs="Arial"/>
          <w:b/>
          <w:bCs/>
          <w:color w:val="000000" w:themeColor="text1"/>
        </w:rPr>
      </w:pPr>
    </w:p>
    <w:p w14:paraId="6F9A1A7C" w14:textId="4BB988B6" w:rsidR="000452A4" w:rsidRDefault="000452A4" w:rsidP="008D0295">
      <w:pPr>
        <w:pStyle w:val="Heading2"/>
      </w:pPr>
      <w:bookmarkStart w:id="37" w:name="_Toc211436419"/>
      <w:r w:rsidRPr="008D0295">
        <w:t>6.1 The Vision</w:t>
      </w:r>
      <w:bookmarkEnd w:id="37"/>
    </w:p>
    <w:p w14:paraId="1E9113D7" w14:textId="77777777" w:rsidR="008D0295" w:rsidRPr="008D0295" w:rsidRDefault="008D0295" w:rsidP="008D0295"/>
    <w:p w14:paraId="298B0DAA" w14:textId="5EBCF0F9" w:rsidR="00DB38CB" w:rsidRPr="008D0295" w:rsidRDefault="000452A4" w:rsidP="000452A4">
      <w:pPr>
        <w:jc w:val="both"/>
        <w:rPr>
          <w:rFonts w:ascii="Arial" w:hAnsi="Arial" w:cs="Arial"/>
          <w:color w:val="000000" w:themeColor="text1"/>
        </w:rPr>
      </w:pPr>
      <w:r w:rsidRPr="008D0295">
        <w:rPr>
          <w:rFonts w:ascii="Arial" w:hAnsi="Arial" w:cs="Arial"/>
          <w:color w:val="000000" w:themeColor="text1"/>
        </w:rPr>
        <w:lastRenderedPageBreak/>
        <w:t xml:space="preserve">The case for change is driven by a need to balance clinical effectiveness, financial sustainability, and equity of access. The current model is a pragmatic response to reduced demand and funding, but </w:t>
      </w:r>
      <w:r w:rsidR="00684C82" w:rsidRPr="008D0295">
        <w:rPr>
          <w:rFonts w:ascii="Arial" w:hAnsi="Arial" w:cs="Arial"/>
          <w:color w:val="000000" w:themeColor="text1"/>
        </w:rPr>
        <w:t xml:space="preserve">a </w:t>
      </w:r>
      <w:r w:rsidRPr="008D0295">
        <w:rPr>
          <w:rFonts w:ascii="Arial" w:hAnsi="Arial" w:cs="Arial"/>
          <w:color w:val="000000" w:themeColor="text1"/>
        </w:rPr>
        <w:t>long-term solution</w:t>
      </w:r>
      <w:r w:rsidR="00684C82" w:rsidRPr="008D0295">
        <w:rPr>
          <w:rFonts w:ascii="Arial" w:hAnsi="Arial" w:cs="Arial"/>
          <w:color w:val="000000" w:themeColor="text1"/>
        </w:rPr>
        <w:t xml:space="preserve"> is to be sought</w:t>
      </w:r>
      <w:r w:rsidRPr="008D0295">
        <w:rPr>
          <w:rFonts w:ascii="Arial" w:hAnsi="Arial" w:cs="Arial"/>
          <w:color w:val="000000" w:themeColor="text1"/>
        </w:rPr>
        <w:t>.</w:t>
      </w:r>
    </w:p>
    <w:p w14:paraId="3BF4C019" w14:textId="77777777" w:rsidR="000452A4" w:rsidRPr="008D0295" w:rsidRDefault="000452A4" w:rsidP="000452A4">
      <w:pPr>
        <w:jc w:val="both"/>
        <w:rPr>
          <w:rFonts w:ascii="Arial" w:hAnsi="Arial" w:cs="Arial"/>
          <w:color w:val="000000" w:themeColor="text1"/>
        </w:rPr>
      </w:pPr>
      <w:r w:rsidRPr="008D0295">
        <w:rPr>
          <w:rFonts w:ascii="Arial" w:hAnsi="Arial" w:cs="Arial"/>
          <w:color w:val="000000" w:themeColor="text1"/>
        </w:rPr>
        <w:t>To ensure the future viability of the service, the ICB must:</w:t>
      </w:r>
    </w:p>
    <w:p w14:paraId="377A5746" w14:textId="77777777" w:rsidR="000452A4" w:rsidRPr="008D0295" w:rsidRDefault="000452A4" w:rsidP="000452A4">
      <w:pPr>
        <w:jc w:val="both"/>
        <w:rPr>
          <w:rFonts w:ascii="Arial" w:hAnsi="Arial" w:cs="Arial"/>
          <w:color w:val="000000" w:themeColor="text1"/>
        </w:rPr>
      </w:pPr>
      <w:r w:rsidRPr="008D0295">
        <w:rPr>
          <w:rFonts w:ascii="Arial" w:hAnsi="Arial" w:cs="Arial"/>
          <w:color w:val="000000" w:themeColor="text1"/>
        </w:rPr>
        <w:t>•</w:t>
      </w:r>
      <w:r w:rsidRPr="008D0295">
        <w:rPr>
          <w:rFonts w:ascii="Arial" w:hAnsi="Arial" w:cs="Arial"/>
          <w:color w:val="000000" w:themeColor="text1"/>
        </w:rPr>
        <w:tab/>
        <w:t>Continue to monitor performance and patient outcomes.</w:t>
      </w:r>
    </w:p>
    <w:p w14:paraId="6B72EA40" w14:textId="77777777" w:rsidR="000452A4" w:rsidRPr="008D0295" w:rsidRDefault="000452A4" w:rsidP="000452A4">
      <w:pPr>
        <w:jc w:val="both"/>
        <w:rPr>
          <w:rFonts w:ascii="Arial" w:hAnsi="Arial" w:cs="Arial"/>
          <w:color w:val="000000" w:themeColor="text1"/>
        </w:rPr>
      </w:pPr>
      <w:r w:rsidRPr="008D0295">
        <w:rPr>
          <w:rFonts w:ascii="Arial" w:hAnsi="Arial" w:cs="Arial"/>
          <w:color w:val="000000" w:themeColor="text1"/>
        </w:rPr>
        <w:t>•</w:t>
      </w:r>
      <w:r w:rsidRPr="008D0295">
        <w:rPr>
          <w:rFonts w:ascii="Arial" w:hAnsi="Arial" w:cs="Arial"/>
          <w:color w:val="000000" w:themeColor="text1"/>
        </w:rPr>
        <w:tab/>
        <w:t>Secure a recurrent, multi-year commissioning model to stabilise the workforce.</w:t>
      </w:r>
    </w:p>
    <w:p w14:paraId="32918094" w14:textId="63128279" w:rsidR="000452A4" w:rsidRPr="008D0295" w:rsidRDefault="000452A4" w:rsidP="000452A4">
      <w:pPr>
        <w:jc w:val="both"/>
        <w:rPr>
          <w:rFonts w:ascii="Arial" w:hAnsi="Arial" w:cs="Arial"/>
          <w:color w:val="000000" w:themeColor="text1"/>
        </w:rPr>
      </w:pPr>
      <w:r w:rsidRPr="008D0295">
        <w:rPr>
          <w:rFonts w:ascii="Arial" w:hAnsi="Arial" w:cs="Arial"/>
          <w:color w:val="000000" w:themeColor="text1"/>
        </w:rPr>
        <w:t>•</w:t>
      </w:r>
      <w:r w:rsidRPr="008D0295">
        <w:rPr>
          <w:rFonts w:ascii="Arial" w:hAnsi="Arial" w:cs="Arial"/>
          <w:color w:val="000000" w:themeColor="text1"/>
        </w:rPr>
        <w:tab/>
      </w:r>
      <w:r w:rsidR="004A506F">
        <w:rPr>
          <w:rFonts w:ascii="Arial" w:hAnsi="Arial" w:cs="Arial"/>
          <w:color w:val="000000" w:themeColor="text1"/>
        </w:rPr>
        <w:t>Co-design t</w:t>
      </w:r>
      <w:r w:rsidRPr="008D0295">
        <w:rPr>
          <w:rFonts w:ascii="Arial" w:hAnsi="Arial" w:cs="Arial"/>
          <w:color w:val="000000" w:themeColor="text1"/>
        </w:rPr>
        <w:t>he 2026/27 model with patients, clinicians, and system partners.</w:t>
      </w:r>
    </w:p>
    <w:p w14:paraId="3B7A5433" w14:textId="5EFD0DC1" w:rsidR="000452A4" w:rsidRPr="008D0295" w:rsidRDefault="000452A4" w:rsidP="000452A4">
      <w:pPr>
        <w:jc w:val="both"/>
        <w:rPr>
          <w:rFonts w:ascii="Arial" w:hAnsi="Arial" w:cs="Arial"/>
          <w:color w:val="000000" w:themeColor="text1"/>
        </w:rPr>
      </w:pPr>
      <w:r w:rsidRPr="008D0295">
        <w:rPr>
          <w:rFonts w:ascii="Arial" w:hAnsi="Arial" w:cs="Arial"/>
          <w:color w:val="000000" w:themeColor="text1"/>
        </w:rPr>
        <w:t>The service remains essential for those affected by Post (Long) COVID, and its evolution must reflect both the changing epidemiology and the lived experiences of patients.</w:t>
      </w:r>
    </w:p>
    <w:p w14:paraId="178D1580" w14:textId="77777777" w:rsidR="000452A4" w:rsidRDefault="000452A4" w:rsidP="008D0295">
      <w:pPr>
        <w:pStyle w:val="Heading2"/>
      </w:pPr>
      <w:bookmarkStart w:id="38" w:name="_Toc211436420"/>
      <w:r w:rsidRPr="008D0295">
        <w:t>6.2 Next steps</w:t>
      </w:r>
      <w:bookmarkEnd w:id="38"/>
    </w:p>
    <w:p w14:paraId="4229EB4B" w14:textId="77777777" w:rsidR="001818A2" w:rsidRDefault="001818A2" w:rsidP="008D0295">
      <w:pPr>
        <w:rPr>
          <w:rFonts w:ascii="Arial" w:hAnsi="Arial" w:cs="Arial"/>
        </w:rPr>
      </w:pPr>
    </w:p>
    <w:p w14:paraId="513134EA" w14:textId="1E5BC88F" w:rsidR="000452A4" w:rsidRPr="008D0295" w:rsidRDefault="000452A4" w:rsidP="008D0295">
      <w:pPr>
        <w:rPr>
          <w:rFonts w:ascii="Arial" w:hAnsi="Arial" w:cs="Arial"/>
          <w:b/>
          <w:bCs/>
        </w:rPr>
      </w:pPr>
      <w:r w:rsidRPr="008D0295">
        <w:rPr>
          <w:rFonts w:ascii="Arial" w:hAnsi="Arial" w:cs="Arial"/>
          <w:b/>
          <w:bCs/>
        </w:rPr>
        <w:t>Performance Monitoring</w:t>
      </w:r>
    </w:p>
    <w:p w14:paraId="38A5DCFB" w14:textId="77777777" w:rsidR="000452A4" w:rsidRPr="008D0295" w:rsidRDefault="000452A4" w:rsidP="007645CC">
      <w:pPr>
        <w:pStyle w:val="ListParagraph"/>
        <w:numPr>
          <w:ilvl w:val="0"/>
          <w:numId w:val="29"/>
        </w:numPr>
        <w:ind w:left="720"/>
        <w:jc w:val="both"/>
        <w:rPr>
          <w:rFonts w:ascii="Arial" w:hAnsi="Arial" w:cs="Arial"/>
          <w:color w:val="000000" w:themeColor="text1"/>
        </w:rPr>
      </w:pPr>
      <w:r w:rsidRPr="008D0295">
        <w:rPr>
          <w:rFonts w:ascii="Arial" w:hAnsi="Arial" w:cs="Arial"/>
          <w:color w:val="000000" w:themeColor="text1"/>
        </w:rPr>
        <w:t>Continue to monitor service performance, referral trends, and patient outcomes.</w:t>
      </w:r>
    </w:p>
    <w:p w14:paraId="44E1C2E4" w14:textId="77777777" w:rsidR="000452A4" w:rsidRPr="008D0295" w:rsidRDefault="000452A4" w:rsidP="007645CC">
      <w:pPr>
        <w:pStyle w:val="ListParagraph"/>
        <w:numPr>
          <w:ilvl w:val="0"/>
          <w:numId w:val="29"/>
        </w:numPr>
        <w:ind w:left="720"/>
        <w:jc w:val="both"/>
        <w:rPr>
          <w:rFonts w:ascii="Arial" w:hAnsi="Arial" w:cs="Arial"/>
          <w:color w:val="000000" w:themeColor="text1"/>
        </w:rPr>
      </w:pPr>
      <w:r w:rsidRPr="008D0295">
        <w:rPr>
          <w:rFonts w:ascii="Arial" w:hAnsi="Arial" w:cs="Arial"/>
          <w:color w:val="000000" w:themeColor="text1"/>
        </w:rPr>
        <w:t>Use this data to inform future service design and commissioning decisions.</w:t>
      </w:r>
    </w:p>
    <w:p w14:paraId="54079C21" w14:textId="4DD53C29" w:rsidR="000452A4" w:rsidRPr="008D0295" w:rsidRDefault="000452A4" w:rsidP="000452A4">
      <w:pPr>
        <w:jc w:val="both"/>
        <w:rPr>
          <w:rFonts w:ascii="Arial" w:hAnsi="Arial" w:cs="Arial"/>
          <w:color w:val="000000" w:themeColor="text1"/>
        </w:rPr>
      </w:pPr>
      <w:r w:rsidRPr="008D0295">
        <w:rPr>
          <w:rFonts w:ascii="Arial" w:hAnsi="Arial" w:cs="Arial"/>
          <w:b/>
          <w:bCs/>
          <w:color w:val="000000" w:themeColor="text1"/>
        </w:rPr>
        <w:t>Commissioning a Sustainable Model</w:t>
      </w:r>
    </w:p>
    <w:p w14:paraId="228501FC" w14:textId="68710CDE" w:rsidR="000452A4" w:rsidRPr="008D0295" w:rsidRDefault="000452A4" w:rsidP="007645CC">
      <w:pPr>
        <w:pStyle w:val="ListParagraph"/>
        <w:numPr>
          <w:ilvl w:val="0"/>
          <w:numId w:val="30"/>
        </w:numPr>
        <w:jc w:val="both"/>
        <w:rPr>
          <w:rFonts w:ascii="Arial" w:hAnsi="Arial" w:cs="Arial"/>
          <w:b/>
          <w:bCs/>
          <w:color w:val="000000" w:themeColor="text1"/>
        </w:rPr>
      </w:pPr>
      <w:r w:rsidRPr="008D0295">
        <w:rPr>
          <w:rFonts w:ascii="Arial" w:hAnsi="Arial" w:cs="Arial"/>
          <w:color w:val="000000" w:themeColor="text1"/>
        </w:rPr>
        <w:t>Develop and commission a recurrent, multi-year service model from April 2026.</w:t>
      </w:r>
    </w:p>
    <w:p w14:paraId="63A9F284" w14:textId="5AAE4AAB" w:rsidR="000452A4" w:rsidRPr="008D0295" w:rsidRDefault="000452A4" w:rsidP="007645CC">
      <w:pPr>
        <w:pStyle w:val="ListParagraph"/>
        <w:numPr>
          <w:ilvl w:val="0"/>
          <w:numId w:val="30"/>
        </w:numPr>
        <w:jc w:val="both"/>
        <w:rPr>
          <w:rFonts w:ascii="Arial" w:hAnsi="Arial" w:cs="Arial"/>
          <w:color w:val="000000" w:themeColor="text1"/>
        </w:rPr>
      </w:pPr>
      <w:r w:rsidRPr="008D0295">
        <w:rPr>
          <w:rFonts w:ascii="Arial" w:hAnsi="Arial" w:cs="Arial"/>
          <w:color w:val="000000" w:themeColor="text1"/>
        </w:rPr>
        <w:t>This model should reflect expected activity levels and address workforce stability.</w:t>
      </w:r>
    </w:p>
    <w:p w14:paraId="78D284A5" w14:textId="77777777" w:rsidR="000452A4" w:rsidRPr="008D0295" w:rsidRDefault="000452A4" w:rsidP="000452A4">
      <w:pPr>
        <w:spacing w:after="0"/>
        <w:jc w:val="both"/>
        <w:rPr>
          <w:rFonts w:ascii="Arial" w:hAnsi="Arial" w:cs="Arial"/>
          <w:color w:val="000000" w:themeColor="text1"/>
        </w:rPr>
      </w:pPr>
    </w:p>
    <w:p w14:paraId="26ADD913" w14:textId="25C756E1" w:rsidR="00E51F23" w:rsidRPr="008D0295" w:rsidRDefault="000452A4" w:rsidP="00F95924">
      <w:pPr>
        <w:jc w:val="both"/>
        <w:rPr>
          <w:rFonts w:ascii="Arial" w:hAnsi="Arial" w:cs="Arial"/>
          <w:b/>
          <w:bCs/>
          <w:color w:val="000000" w:themeColor="text1"/>
        </w:rPr>
      </w:pPr>
      <w:r w:rsidRPr="008D0295">
        <w:rPr>
          <w:rFonts w:ascii="Arial" w:hAnsi="Arial" w:cs="Arial"/>
          <w:b/>
          <w:bCs/>
          <w:color w:val="000000" w:themeColor="text1"/>
        </w:rPr>
        <w:t>Patient and Public Involvement</w:t>
      </w:r>
    </w:p>
    <w:p w14:paraId="487817D6" w14:textId="0EF50C2E" w:rsidR="00E51F23" w:rsidRPr="008D0295" w:rsidRDefault="000452A4" w:rsidP="00F95924">
      <w:pPr>
        <w:jc w:val="both"/>
        <w:rPr>
          <w:rFonts w:ascii="Arial" w:hAnsi="Arial" w:cs="Arial"/>
          <w:color w:val="000000" w:themeColor="text1"/>
        </w:rPr>
      </w:pPr>
      <w:r w:rsidRPr="008D0295">
        <w:rPr>
          <w:rFonts w:ascii="Arial" w:hAnsi="Arial" w:cs="Arial"/>
          <w:color w:val="000000" w:themeColor="text1"/>
        </w:rPr>
        <w:t>Recruit t</w:t>
      </w:r>
      <w:r w:rsidR="004A506F">
        <w:rPr>
          <w:rFonts w:ascii="Arial" w:hAnsi="Arial" w:cs="Arial"/>
          <w:color w:val="000000" w:themeColor="text1"/>
        </w:rPr>
        <w:t>hree p</w:t>
      </w:r>
      <w:r w:rsidRPr="008D0295">
        <w:rPr>
          <w:rFonts w:ascii="Arial" w:hAnsi="Arial" w:cs="Arial"/>
          <w:color w:val="000000" w:themeColor="text1"/>
        </w:rPr>
        <w:t xml:space="preserve">atient and public partners to join the </w:t>
      </w:r>
      <w:r w:rsidR="00F95924">
        <w:rPr>
          <w:rFonts w:ascii="Arial" w:hAnsi="Arial" w:cs="Arial"/>
          <w:color w:val="000000" w:themeColor="text1"/>
        </w:rPr>
        <w:t xml:space="preserve">Post-COVID Review Task and Finish </w:t>
      </w:r>
      <w:r w:rsidRPr="008D0295">
        <w:rPr>
          <w:rFonts w:ascii="Arial" w:hAnsi="Arial" w:cs="Arial"/>
          <w:color w:val="000000" w:themeColor="text1"/>
        </w:rPr>
        <w:t>Group.</w:t>
      </w:r>
    </w:p>
    <w:p w14:paraId="08C784F9" w14:textId="77777777" w:rsidR="00E51F23" w:rsidRPr="008D0295" w:rsidRDefault="000452A4" w:rsidP="000452A4">
      <w:pPr>
        <w:jc w:val="both"/>
        <w:rPr>
          <w:rFonts w:ascii="Arial" w:hAnsi="Arial" w:cs="Arial"/>
          <w:color w:val="000000" w:themeColor="text1"/>
        </w:rPr>
      </w:pPr>
      <w:r w:rsidRPr="008D0295">
        <w:rPr>
          <w:rFonts w:ascii="Arial" w:hAnsi="Arial" w:cs="Arial"/>
          <w:color w:val="000000" w:themeColor="text1"/>
        </w:rPr>
        <w:t>Continue to gather and incorporate patient feedback, including:</w:t>
      </w:r>
    </w:p>
    <w:p w14:paraId="1A1785B4" w14:textId="77777777" w:rsidR="00E51F23" w:rsidRPr="008D0295" w:rsidRDefault="000452A4" w:rsidP="007645CC">
      <w:pPr>
        <w:pStyle w:val="ListParagraph"/>
        <w:numPr>
          <w:ilvl w:val="0"/>
          <w:numId w:val="34"/>
        </w:numPr>
        <w:jc w:val="both"/>
        <w:rPr>
          <w:rFonts w:ascii="Arial" w:hAnsi="Arial" w:cs="Arial"/>
          <w:color w:val="000000" w:themeColor="text1"/>
        </w:rPr>
      </w:pPr>
      <w:r w:rsidRPr="008D0295">
        <w:rPr>
          <w:rFonts w:ascii="Arial" w:hAnsi="Arial" w:cs="Arial"/>
          <w:color w:val="000000" w:themeColor="text1"/>
        </w:rPr>
        <w:t>Friends and Family Test.</w:t>
      </w:r>
    </w:p>
    <w:p w14:paraId="45CBBD8C" w14:textId="6C79DCC6" w:rsidR="000452A4" w:rsidRDefault="000452A4" w:rsidP="007645CC">
      <w:pPr>
        <w:pStyle w:val="ListParagraph"/>
        <w:numPr>
          <w:ilvl w:val="0"/>
          <w:numId w:val="34"/>
        </w:numPr>
        <w:jc w:val="both"/>
        <w:rPr>
          <w:rFonts w:ascii="Arial" w:hAnsi="Arial" w:cs="Arial"/>
          <w:color w:val="000000" w:themeColor="text1"/>
        </w:rPr>
      </w:pPr>
      <w:r w:rsidRPr="008D0295">
        <w:rPr>
          <w:rFonts w:ascii="Arial" w:hAnsi="Arial" w:cs="Arial"/>
          <w:color w:val="000000" w:themeColor="text1"/>
        </w:rPr>
        <w:t>Complaints.</w:t>
      </w:r>
    </w:p>
    <w:p w14:paraId="725EFE28" w14:textId="77777777" w:rsidR="001818A2" w:rsidRDefault="001818A2" w:rsidP="00F95924">
      <w:pPr>
        <w:spacing w:after="0"/>
        <w:jc w:val="both"/>
        <w:rPr>
          <w:rFonts w:ascii="Arial" w:hAnsi="Arial" w:cs="Arial"/>
          <w:b/>
          <w:bCs/>
          <w:color w:val="000000" w:themeColor="text1"/>
        </w:rPr>
      </w:pPr>
      <w:r w:rsidRPr="008D0295">
        <w:rPr>
          <w:rFonts w:ascii="Arial" w:hAnsi="Arial" w:cs="Arial"/>
          <w:b/>
          <w:bCs/>
          <w:color w:val="000000" w:themeColor="text1"/>
        </w:rPr>
        <w:t>Task and Finish Group</w:t>
      </w:r>
    </w:p>
    <w:p w14:paraId="163A73AD" w14:textId="77777777" w:rsidR="00F95924" w:rsidRPr="008D0295" w:rsidRDefault="00F95924" w:rsidP="00F95924">
      <w:pPr>
        <w:spacing w:after="0"/>
        <w:jc w:val="both"/>
        <w:rPr>
          <w:rFonts w:ascii="Arial" w:hAnsi="Arial" w:cs="Arial"/>
          <w:color w:val="000000" w:themeColor="text1"/>
        </w:rPr>
      </w:pPr>
    </w:p>
    <w:p w14:paraId="33A7E8FE" w14:textId="77777777" w:rsidR="001818A2" w:rsidRPr="008D0295" w:rsidRDefault="001818A2" w:rsidP="00F95924">
      <w:pPr>
        <w:jc w:val="both"/>
        <w:rPr>
          <w:rFonts w:ascii="Arial" w:hAnsi="Arial" w:cs="Arial"/>
          <w:color w:val="000000" w:themeColor="text1"/>
        </w:rPr>
      </w:pPr>
      <w:r w:rsidRPr="008D0295">
        <w:rPr>
          <w:rFonts w:ascii="Arial" w:hAnsi="Arial" w:cs="Arial"/>
          <w:color w:val="000000" w:themeColor="text1"/>
        </w:rPr>
        <w:t>Establish a monthly meeting chaired by the ICB.</w:t>
      </w:r>
    </w:p>
    <w:p w14:paraId="4BA224B3" w14:textId="77777777" w:rsidR="001818A2" w:rsidRPr="008D0295" w:rsidRDefault="001818A2" w:rsidP="001818A2">
      <w:pPr>
        <w:jc w:val="both"/>
        <w:rPr>
          <w:rFonts w:ascii="Arial" w:hAnsi="Arial" w:cs="Arial"/>
          <w:color w:val="000000" w:themeColor="text1"/>
        </w:rPr>
      </w:pPr>
      <w:r w:rsidRPr="008D0295">
        <w:rPr>
          <w:rFonts w:ascii="Arial" w:hAnsi="Arial" w:cs="Arial"/>
          <w:color w:val="000000" w:themeColor="text1"/>
        </w:rPr>
        <w:t>This group will:</w:t>
      </w:r>
    </w:p>
    <w:p w14:paraId="2666CB5C" w14:textId="77777777" w:rsidR="001818A2" w:rsidRPr="008D0295" w:rsidRDefault="001818A2" w:rsidP="001818A2">
      <w:pPr>
        <w:pStyle w:val="ListParagraph"/>
        <w:numPr>
          <w:ilvl w:val="0"/>
          <w:numId w:val="33"/>
        </w:numPr>
        <w:jc w:val="both"/>
        <w:rPr>
          <w:rFonts w:ascii="Arial" w:hAnsi="Arial" w:cs="Arial"/>
          <w:color w:val="000000" w:themeColor="text1"/>
        </w:rPr>
      </w:pPr>
      <w:r w:rsidRPr="008D0295">
        <w:rPr>
          <w:rFonts w:ascii="Arial" w:hAnsi="Arial" w:cs="Arial"/>
          <w:color w:val="000000" w:themeColor="text1"/>
        </w:rPr>
        <w:t>Support service delivery.</w:t>
      </w:r>
    </w:p>
    <w:p w14:paraId="50944437" w14:textId="77777777" w:rsidR="001818A2" w:rsidRPr="008D0295" w:rsidRDefault="001818A2" w:rsidP="001818A2">
      <w:pPr>
        <w:pStyle w:val="ListParagraph"/>
        <w:numPr>
          <w:ilvl w:val="0"/>
          <w:numId w:val="33"/>
        </w:numPr>
        <w:jc w:val="both"/>
        <w:rPr>
          <w:rFonts w:ascii="Arial" w:hAnsi="Arial" w:cs="Arial"/>
          <w:color w:val="000000" w:themeColor="text1"/>
        </w:rPr>
      </w:pPr>
      <w:r w:rsidRPr="008D0295">
        <w:rPr>
          <w:rFonts w:ascii="Arial" w:hAnsi="Arial" w:cs="Arial"/>
          <w:color w:val="000000" w:themeColor="text1"/>
        </w:rPr>
        <w:t>Embed NHSE guidance.</w:t>
      </w:r>
    </w:p>
    <w:p w14:paraId="6309C9DF" w14:textId="77777777" w:rsidR="001818A2" w:rsidRPr="008D0295" w:rsidRDefault="001818A2" w:rsidP="001818A2">
      <w:pPr>
        <w:pStyle w:val="ListParagraph"/>
        <w:numPr>
          <w:ilvl w:val="0"/>
          <w:numId w:val="33"/>
        </w:numPr>
        <w:jc w:val="both"/>
        <w:rPr>
          <w:rFonts w:ascii="Arial" w:hAnsi="Arial" w:cs="Arial"/>
          <w:color w:val="000000" w:themeColor="text1"/>
        </w:rPr>
      </w:pPr>
      <w:r w:rsidRPr="008D0295">
        <w:rPr>
          <w:rFonts w:ascii="Arial" w:hAnsi="Arial" w:cs="Arial"/>
          <w:color w:val="000000" w:themeColor="text1"/>
        </w:rPr>
        <w:t>Review performance.</w:t>
      </w:r>
    </w:p>
    <w:p w14:paraId="1D56DA28" w14:textId="5DE0BC9B" w:rsidR="001818A2" w:rsidRDefault="001818A2" w:rsidP="001818A2">
      <w:pPr>
        <w:pStyle w:val="ListParagraph"/>
        <w:numPr>
          <w:ilvl w:val="0"/>
          <w:numId w:val="33"/>
        </w:numPr>
        <w:jc w:val="both"/>
        <w:rPr>
          <w:rFonts w:ascii="Arial" w:hAnsi="Arial" w:cs="Arial"/>
          <w:color w:val="000000" w:themeColor="text1"/>
        </w:rPr>
      </w:pPr>
      <w:r w:rsidRPr="008D0295">
        <w:rPr>
          <w:rFonts w:ascii="Arial" w:hAnsi="Arial" w:cs="Arial"/>
          <w:color w:val="000000" w:themeColor="text1"/>
        </w:rPr>
        <w:t>Oversee the development of the future model.</w:t>
      </w:r>
    </w:p>
    <w:p w14:paraId="660FC2A2" w14:textId="76006E9D" w:rsidR="00F95924" w:rsidRDefault="00F95924" w:rsidP="00F95924">
      <w:pPr>
        <w:ind w:left="360"/>
        <w:rPr>
          <w:rFonts w:ascii="Arial" w:hAnsi="Arial" w:cs="Arial"/>
          <w:color w:val="000000"/>
        </w:rPr>
      </w:pPr>
    </w:p>
    <w:p w14:paraId="638E03B3" w14:textId="77777777" w:rsidR="00F95924" w:rsidRPr="00F95924" w:rsidRDefault="00F95924" w:rsidP="00F95924">
      <w:pPr>
        <w:ind w:left="360"/>
        <w:rPr>
          <w:rFonts w:ascii="Arial" w:hAnsi="Arial" w:cs="Arial"/>
          <w:color w:val="000000"/>
        </w:rPr>
      </w:pPr>
    </w:p>
    <w:p w14:paraId="343370BD" w14:textId="2DEC0FBF" w:rsidR="000452A4" w:rsidRPr="008D0295" w:rsidRDefault="000452A4" w:rsidP="000452A4">
      <w:pPr>
        <w:jc w:val="both"/>
        <w:rPr>
          <w:rFonts w:ascii="Arial" w:hAnsi="Arial" w:cs="Arial"/>
          <w:b/>
          <w:bCs/>
          <w:color w:val="000000" w:themeColor="text1"/>
        </w:rPr>
      </w:pPr>
      <w:r w:rsidRPr="008D0295">
        <w:rPr>
          <w:rFonts w:ascii="Arial" w:hAnsi="Arial" w:cs="Arial"/>
          <w:b/>
          <w:bCs/>
          <w:color w:val="000000" w:themeColor="text1"/>
        </w:rPr>
        <w:lastRenderedPageBreak/>
        <w:t>Quality and Equality Impact Assessments (QEIA)</w:t>
      </w:r>
    </w:p>
    <w:p w14:paraId="3EA52CAD" w14:textId="76228A5D" w:rsidR="000452A4" w:rsidRDefault="000452A4" w:rsidP="000452A4">
      <w:pPr>
        <w:jc w:val="both"/>
        <w:rPr>
          <w:rFonts w:ascii="Arial" w:hAnsi="Arial" w:cs="Arial"/>
          <w:color w:val="000000" w:themeColor="text1"/>
        </w:rPr>
      </w:pPr>
      <w:r w:rsidRPr="008D0295">
        <w:rPr>
          <w:rFonts w:ascii="Arial" w:hAnsi="Arial" w:cs="Arial"/>
          <w:color w:val="000000" w:themeColor="text1"/>
        </w:rPr>
        <w:t>Complete a new QEIAs for the 2026/27 future services options to ensure equity and quality are embedded in decision-making.</w:t>
      </w:r>
    </w:p>
    <w:p w14:paraId="211550ED" w14:textId="15AD5C0B" w:rsidR="00F95924" w:rsidRDefault="00F95924" w:rsidP="000452A4">
      <w:pPr>
        <w:jc w:val="both"/>
        <w:rPr>
          <w:rFonts w:ascii="Arial" w:hAnsi="Arial" w:cs="Arial"/>
          <w:b/>
          <w:bCs/>
          <w:color w:val="000000" w:themeColor="text1"/>
        </w:rPr>
      </w:pPr>
      <w:r>
        <w:rPr>
          <w:rFonts w:ascii="Arial" w:hAnsi="Arial" w:cs="Arial"/>
          <w:b/>
          <w:bCs/>
          <w:color w:val="000000" w:themeColor="text1"/>
        </w:rPr>
        <w:t xml:space="preserve">Governance Procedures </w:t>
      </w:r>
    </w:p>
    <w:p w14:paraId="48D3B616" w14:textId="1516F345" w:rsidR="00F95924" w:rsidRDefault="00F95924" w:rsidP="00F95924">
      <w:pPr>
        <w:rPr>
          <w:rFonts w:ascii="Arial" w:hAnsi="Arial" w:cs="Arial"/>
          <w:color w:val="000000"/>
        </w:rPr>
      </w:pPr>
      <w:r w:rsidRPr="00F95924">
        <w:rPr>
          <w:rFonts w:ascii="Arial" w:hAnsi="Arial" w:cs="Arial"/>
          <w:color w:val="000000"/>
        </w:rPr>
        <w:t>Ensure the completion of all necessary documentation and adherence to governance procedures to support the commissioning of the agreed future service model. Sufficient time should be allocated to enable DCHS to implement any required changes effectively.</w:t>
      </w:r>
    </w:p>
    <w:p w14:paraId="2C4736BA" w14:textId="43B09A93" w:rsidR="00F95924" w:rsidRDefault="00F95924" w:rsidP="00F95924">
      <w:pPr>
        <w:rPr>
          <w:rFonts w:ascii="Arial" w:hAnsi="Arial" w:cs="Arial"/>
          <w:color w:val="000000"/>
        </w:rPr>
      </w:pPr>
      <w:r>
        <w:rPr>
          <w:rFonts w:ascii="Arial" w:hAnsi="Arial" w:cs="Arial"/>
          <w:color w:val="000000"/>
        </w:rPr>
        <w:t xml:space="preserve">In summary, these measures will ensure robust oversight, transparency, and quality assurance throughout the commissioning process, supporting the successful delivery of future services. </w:t>
      </w:r>
    </w:p>
    <w:p w14:paraId="0ED6A1FA" w14:textId="77777777" w:rsidR="00F95924" w:rsidRPr="008D0295" w:rsidRDefault="00F95924" w:rsidP="00F95924">
      <w:pPr>
        <w:rPr>
          <w:rFonts w:ascii="Arial" w:hAnsi="Arial" w:cs="Arial"/>
          <w:color w:val="000000" w:themeColor="text1"/>
        </w:rPr>
      </w:pPr>
    </w:p>
    <w:p w14:paraId="4DA8E37F" w14:textId="7798C5D9" w:rsidR="00EC4831" w:rsidRPr="008D0295" w:rsidRDefault="00EC4831" w:rsidP="00537076">
      <w:pPr>
        <w:pStyle w:val="NormalWeb"/>
        <w:shd w:val="clear" w:color="auto" w:fill="FFFFFF"/>
        <w:spacing w:before="0" w:beforeAutospacing="0" w:after="225" w:afterAutospacing="0"/>
        <w:ind w:left="360"/>
        <w:jc w:val="both"/>
        <w:textAlignment w:val="baseline"/>
        <w:rPr>
          <w:rFonts w:ascii="Arial" w:hAnsi="Arial" w:cs="Arial"/>
          <w:color w:val="000000" w:themeColor="text1"/>
          <w:sz w:val="22"/>
          <w:szCs w:val="22"/>
        </w:rPr>
      </w:pPr>
      <w:r w:rsidRPr="008D0295">
        <w:rPr>
          <w:rFonts w:ascii="Arial" w:hAnsi="Arial" w:cs="Arial"/>
          <w:color w:val="000000" w:themeColor="text1"/>
          <w:sz w:val="22"/>
          <w:szCs w:val="22"/>
        </w:rPr>
        <w:t xml:space="preserve">Appendix </w:t>
      </w:r>
      <w:r w:rsidR="00481DB8">
        <w:rPr>
          <w:rFonts w:ascii="Arial" w:hAnsi="Arial" w:cs="Arial"/>
          <w:color w:val="000000" w:themeColor="text1"/>
          <w:sz w:val="22"/>
          <w:szCs w:val="22"/>
        </w:rPr>
        <w:t>A</w:t>
      </w:r>
      <w:r w:rsidRPr="008D0295">
        <w:rPr>
          <w:rFonts w:ascii="Arial" w:hAnsi="Arial" w:cs="Arial"/>
          <w:color w:val="000000" w:themeColor="text1"/>
          <w:sz w:val="22"/>
          <w:szCs w:val="22"/>
        </w:rPr>
        <w:t xml:space="preserve"> </w:t>
      </w:r>
    </w:p>
    <w:p w14:paraId="0248B943" w14:textId="1022783C" w:rsidR="00EC4831" w:rsidRPr="008D0295" w:rsidRDefault="00EC4831" w:rsidP="00537076">
      <w:pPr>
        <w:pStyle w:val="NormalWeb"/>
        <w:shd w:val="clear" w:color="auto" w:fill="FFFFFF"/>
        <w:spacing w:before="0" w:beforeAutospacing="0" w:after="225" w:afterAutospacing="0"/>
        <w:ind w:left="360"/>
        <w:jc w:val="both"/>
        <w:textAlignment w:val="baseline"/>
        <w:rPr>
          <w:rFonts w:ascii="Arial" w:hAnsi="Arial" w:cs="Arial"/>
          <w:color w:val="000000" w:themeColor="text1"/>
          <w:sz w:val="22"/>
          <w:szCs w:val="22"/>
        </w:rPr>
      </w:pPr>
    </w:p>
    <w:bookmarkStart w:id="39" w:name="_MON_1810104350"/>
    <w:bookmarkEnd w:id="39"/>
    <w:p w14:paraId="500C326B" w14:textId="3F29740E" w:rsidR="00EC4831" w:rsidRPr="008D0295" w:rsidRDefault="00EC4831" w:rsidP="00537076">
      <w:pPr>
        <w:pStyle w:val="NormalWeb"/>
        <w:shd w:val="clear" w:color="auto" w:fill="FFFFFF"/>
        <w:spacing w:before="0" w:beforeAutospacing="0" w:after="225" w:afterAutospacing="0"/>
        <w:ind w:left="360"/>
        <w:jc w:val="both"/>
        <w:textAlignment w:val="baseline"/>
        <w:rPr>
          <w:rFonts w:ascii="Arial" w:hAnsi="Arial" w:cs="Arial"/>
          <w:color w:val="000000" w:themeColor="text1"/>
          <w:sz w:val="22"/>
          <w:szCs w:val="22"/>
        </w:rPr>
      </w:pPr>
      <w:r w:rsidRPr="008D0295">
        <w:rPr>
          <w:rFonts w:ascii="Arial" w:hAnsi="Arial" w:cs="Arial"/>
          <w:color w:val="000000" w:themeColor="text1"/>
          <w:sz w:val="22"/>
          <w:szCs w:val="22"/>
        </w:rPr>
        <w:object w:dxaOrig="1508" w:dyaOrig="984" w14:anchorId="34561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24" o:title=""/>
          </v:shape>
          <o:OLEObject Type="Embed" ProgID="Word.Document.12" ShapeID="_x0000_i1025" DrawAspect="Icon" ObjectID="_1822121253" r:id="rId25">
            <o:FieldCodes>\s</o:FieldCodes>
          </o:OLEObject>
        </w:object>
      </w:r>
    </w:p>
    <w:p w14:paraId="6A166C9A" w14:textId="77777777" w:rsidR="00EC4831" w:rsidRPr="008D0295" w:rsidRDefault="00EC4831" w:rsidP="00537076">
      <w:pPr>
        <w:pStyle w:val="NormalWeb"/>
        <w:shd w:val="clear" w:color="auto" w:fill="FFFFFF"/>
        <w:spacing w:before="0" w:beforeAutospacing="0" w:after="225" w:afterAutospacing="0"/>
        <w:ind w:left="360"/>
        <w:jc w:val="both"/>
        <w:textAlignment w:val="baseline"/>
        <w:rPr>
          <w:rFonts w:ascii="Arial" w:hAnsi="Arial" w:cs="Arial"/>
          <w:color w:val="000000" w:themeColor="text1"/>
          <w:sz w:val="22"/>
          <w:szCs w:val="22"/>
        </w:rPr>
      </w:pPr>
    </w:p>
    <w:p w14:paraId="6351C93B" w14:textId="77777777" w:rsidR="00A72302" w:rsidRPr="008D0295" w:rsidRDefault="00A72302">
      <w:pPr>
        <w:pStyle w:val="NormalWeb"/>
        <w:shd w:val="clear" w:color="auto" w:fill="FFFFFF"/>
        <w:spacing w:before="0" w:beforeAutospacing="0" w:after="225" w:afterAutospacing="0"/>
        <w:ind w:left="360"/>
        <w:jc w:val="both"/>
        <w:textAlignment w:val="baseline"/>
        <w:rPr>
          <w:rFonts w:ascii="Arial" w:hAnsi="Arial" w:cs="Arial"/>
          <w:color w:val="000000" w:themeColor="text1"/>
          <w:sz w:val="22"/>
          <w:szCs w:val="22"/>
        </w:rPr>
      </w:pPr>
    </w:p>
    <w:sectPr w:rsidR="00A72302" w:rsidRPr="008D0295" w:rsidSect="00AD78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2A41E" w14:textId="77777777" w:rsidR="00C12CC7" w:rsidRDefault="00C12CC7" w:rsidP="00286EEB">
      <w:pPr>
        <w:spacing w:after="0" w:line="240" w:lineRule="auto"/>
      </w:pPr>
      <w:r>
        <w:separator/>
      </w:r>
    </w:p>
    <w:p w14:paraId="53C5D625" w14:textId="77777777" w:rsidR="0032210C" w:rsidRDefault="0032210C"/>
  </w:endnote>
  <w:endnote w:type="continuationSeparator" w:id="0">
    <w:p w14:paraId="52F0CFF6" w14:textId="77777777" w:rsidR="00C12CC7" w:rsidRDefault="00C12CC7" w:rsidP="00286EEB">
      <w:pPr>
        <w:spacing w:after="0" w:line="240" w:lineRule="auto"/>
      </w:pPr>
      <w:r>
        <w:continuationSeparator/>
      </w:r>
    </w:p>
    <w:p w14:paraId="67234E0B" w14:textId="77777777" w:rsidR="0032210C" w:rsidRDefault="0032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ECCD" w14:textId="581B9616" w:rsidR="00F002F3" w:rsidRDefault="00851243">
    <w:pPr>
      <w:pStyle w:val="Footer"/>
    </w:pPr>
    <w:r>
      <w:t>Version 1.5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565B" w14:textId="77777777" w:rsidR="00C12CC7" w:rsidRDefault="00C12CC7" w:rsidP="00286EEB">
      <w:pPr>
        <w:spacing w:after="0" w:line="240" w:lineRule="auto"/>
      </w:pPr>
      <w:r>
        <w:separator/>
      </w:r>
    </w:p>
    <w:p w14:paraId="0086E07A" w14:textId="77777777" w:rsidR="0032210C" w:rsidRDefault="0032210C"/>
  </w:footnote>
  <w:footnote w:type="continuationSeparator" w:id="0">
    <w:p w14:paraId="2E475BA2" w14:textId="77777777" w:rsidR="00C12CC7" w:rsidRDefault="00C12CC7" w:rsidP="00286EEB">
      <w:pPr>
        <w:spacing w:after="0" w:line="240" w:lineRule="auto"/>
      </w:pPr>
      <w:r>
        <w:continuationSeparator/>
      </w:r>
    </w:p>
    <w:p w14:paraId="47061DF0" w14:textId="77777777" w:rsidR="0032210C" w:rsidRDefault="0032210C"/>
  </w:footnote>
  <w:footnote w:id="1">
    <w:p w14:paraId="29B05B40" w14:textId="0661C0AD" w:rsidR="003220FE" w:rsidRDefault="003220FE">
      <w:pPr>
        <w:pStyle w:val="FootnoteText"/>
      </w:pPr>
      <w:r>
        <w:rPr>
          <w:rStyle w:val="FootnoteReference"/>
        </w:rPr>
        <w:footnoteRef/>
      </w:r>
      <w:r>
        <w:t xml:space="preserve"> </w:t>
      </w:r>
      <w:r w:rsidRPr="003220FE">
        <w:t>Hedberg P, van der Werff SD, Nauclér P. The effect of COVID-19 vaccination on the risk of persistent post COVID-19 condition: cohort study. J Infect Dis. Published online March 12, 2025. doi:10.1093/infdis/jiaf133</w:t>
      </w:r>
    </w:p>
  </w:footnote>
  <w:footnote w:id="2">
    <w:p w14:paraId="1AB17D7D" w14:textId="323E4223" w:rsidR="00D836C6" w:rsidRDefault="00D836C6">
      <w:pPr>
        <w:pStyle w:val="FootnoteText"/>
      </w:pPr>
      <w:r>
        <w:rPr>
          <w:rStyle w:val="FootnoteReference"/>
        </w:rPr>
        <w:footnoteRef/>
      </w:r>
      <w:r>
        <w:t xml:space="preserve"> </w:t>
      </w:r>
      <w:r w:rsidRPr="00D836C6">
        <w:t>Xie, Y., Choi, T., &amp; Al-Aly, Z. (2024). Postacute Sequelae of SARS-CoV-2 Infection in the Pre-Delta, Delta, and Omicron Eras. </w:t>
      </w:r>
      <w:r w:rsidRPr="00D836C6">
        <w:rPr>
          <w:i/>
          <w:iCs/>
        </w:rPr>
        <w:t>New England Journal of Medicine</w:t>
      </w:r>
      <w:r w:rsidRPr="00D836C6">
        <w:t>, 391(6), 515-525. doi:10.1056/NEJMoa2403211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2F1" w14:textId="3B3B72CB" w:rsidR="00F002F3" w:rsidRDefault="00F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EEA"/>
    <w:multiLevelType w:val="multilevel"/>
    <w:tmpl w:val="FF2E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A139F"/>
    <w:multiLevelType w:val="multilevel"/>
    <w:tmpl w:val="C44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D1A89"/>
    <w:multiLevelType w:val="multilevel"/>
    <w:tmpl w:val="794019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9325B3"/>
    <w:multiLevelType w:val="hybridMultilevel"/>
    <w:tmpl w:val="E100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D46B6"/>
    <w:multiLevelType w:val="hybridMultilevel"/>
    <w:tmpl w:val="01B0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85593"/>
    <w:multiLevelType w:val="multilevel"/>
    <w:tmpl w:val="83E20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9459D"/>
    <w:multiLevelType w:val="multilevel"/>
    <w:tmpl w:val="9810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8C25DA"/>
    <w:multiLevelType w:val="hybridMultilevel"/>
    <w:tmpl w:val="BA46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54061"/>
    <w:multiLevelType w:val="hybridMultilevel"/>
    <w:tmpl w:val="0B66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16FB9"/>
    <w:multiLevelType w:val="hybridMultilevel"/>
    <w:tmpl w:val="BDD2A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6E2CB0"/>
    <w:multiLevelType w:val="multilevel"/>
    <w:tmpl w:val="3FD67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B3F41"/>
    <w:multiLevelType w:val="multilevel"/>
    <w:tmpl w:val="E63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96195"/>
    <w:multiLevelType w:val="multilevel"/>
    <w:tmpl w:val="AECE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19797E"/>
    <w:multiLevelType w:val="hybridMultilevel"/>
    <w:tmpl w:val="2E92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E6AAF"/>
    <w:multiLevelType w:val="hybridMultilevel"/>
    <w:tmpl w:val="2570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0157A"/>
    <w:multiLevelType w:val="hybridMultilevel"/>
    <w:tmpl w:val="3C805A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B467C1"/>
    <w:multiLevelType w:val="hybridMultilevel"/>
    <w:tmpl w:val="4484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C5397"/>
    <w:multiLevelType w:val="hybridMultilevel"/>
    <w:tmpl w:val="03FE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226F35"/>
    <w:multiLevelType w:val="hybridMultilevel"/>
    <w:tmpl w:val="1480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5263"/>
    <w:multiLevelType w:val="multilevel"/>
    <w:tmpl w:val="AB8ED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885056"/>
    <w:multiLevelType w:val="multilevel"/>
    <w:tmpl w:val="6886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DE1F28"/>
    <w:multiLevelType w:val="multilevel"/>
    <w:tmpl w:val="D0D04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783791"/>
    <w:multiLevelType w:val="hybridMultilevel"/>
    <w:tmpl w:val="DCBC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E12B0"/>
    <w:multiLevelType w:val="multilevel"/>
    <w:tmpl w:val="34F6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4C6E97"/>
    <w:multiLevelType w:val="hybridMultilevel"/>
    <w:tmpl w:val="B49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C5B4A"/>
    <w:multiLevelType w:val="multilevel"/>
    <w:tmpl w:val="F1226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0B19A9"/>
    <w:multiLevelType w:val="hybridMultilevel"/>
    <w:tmpl w:val="1D82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61079F"/>
    <w:multiLevelType w:val="multilevel"/>
    <w:tmpl w:val="0606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D5361"/>
    <w:multiLevelType w:val="hybridMultilevel"/>
    <w:tmpl w:val="47F27F0A"/>
    <w:lvl w:ilvl="0" w:tplc="08090001">
      <w:start w:val="1"/>
      <w:numFmt w:val="bullet"/>
      <w:lvlText w:val=""/>
      <w:lvlJc w:val="left"/>
      <w:pPr>
        <w:ind w:left="720" w:hanging="360"/>
      </w:pPr>
      <w:rPr>
        <w:rFonts w:ascii="Symbol" w:hAnsi="Symbol" w:hint="default"/>
      </w:rPr>
    </w:lvl>
    <w:lvl w:ilvl="1" w:tplc="2B5851F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3394A"/>
    <w:multiLevelType w:val="multilevel"/>
    <w:tmpl w:val="15AA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DC6377"/>
    <w:multiLevelType w:val="multilevel"/>
    <w:tmpl w:val="1E42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363F43"/>
    <w:multiLevelType w:val="hybridMultilevel"/>
    <w:tmpl w:val="3F7600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36576D"/>
    <w:multiLevelType w:val="hybridMultilevel"/>
    <w:tmpl w:val="8FD45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206005">
    <w:abstractNumId w:val="26"/>
  </w:num>
  <w:num w:numId="2" w16cid:durableId="507209004">
    <w:abstractNumId w:val="7"/>
  </w:num>
  <w:num w:numId="3" w16cid:durableId="1682313207">
    <w:abstractNumId w:val="9"/>
  </w:num>
  <w:num w:numId="4" w16cid:durableId="2105227962">
    <w:abstractNumId w:val="18"/>
  </w:num>
  <w:num w:numId="5" w16cid:durableId="33043508">
    <w:abstractNumId w:val="32"/>
  </w:num>
  <w:num w:numId="6" w16cid:durableId="1563254314">
    <w:abstractNumId w:val="16"/>
  </w:num>
  <w:num w:numId="7" w16cid:durableId="1915358888">
    <w:abstractNumId w:val="29"/>
  </w:num>
  <w:num w:numId="8" w16cid:durableId="1372462411">
    <w:abstractNumId w:val="4"/>
  </w:num>
  <w:num w:numId="9" w16cid:durableId="543062193">
    <w:abstractNumId w:val="6"/>
  </w:num>
  <w:num w:numId="10" w16cid:durableId="1930429852">
    <w:abstractNumId w:val="27"/>
  </w:num>
  <w:num w:numId="11" w16cid:durableId="1646079739">
    <w:abstractNumId w:val="30"/>
  </w:num>
  <w:num w:numId="12" w16cid:durableId="708649510">
    <w:abstractNumId w:val="10"/>
  </w:num>
  <w:num w:numId="13" w16cid:durableId="779034364">
    <w:abstractNumId w:val="20"/>
  </w:num>
  <w:num w:numId="14" w16cid:durableId="504128009">
    <w:abstractNumId w:val="25"/>
  </w:num>
  <w:num w:numId="15" w16cid:durableId="755172203">
    <w:abstractNumId w:val="19"/>
  </w:num>
  <w:num w:numId="16" w16cid:durableId="1715232180">
    <w:abstractNumId w:val="15"/>
  </w:num>
  <w:num w:numId="17" w16cid:durableId="1835343023">
    <w:abstractNumId w:val="8"/>
  </w:num>
  <w:num w:numId="18" w16cid:durableId="1936590547">
    <w:abstractNumId w:val="1"/>
  </w:num>
  <w:num w:numId="19" w16cid:durableId="855002149">
    <w:abstractNumId w:val="5"/>
  </w:num>
  <w:num w:numId="20" w16cid:durableId="180051078">
    <w:abstractNumId w:val="5"/>
    <w:lvlOverride w:ilvl="1">
      <w:lvl w:ilvl="1">
        <w:numFmt w:val="decimal"/>
        <w:lvlText w:val="%2."/>
        <w:lvlJc w:val="left"/>
      </w:lvl>
    </w:lvlOverride>
  </w:num>
  <w:num w:numId="21" w16cid:durableId="1187019811">
    <w:abstractNumId w:val="13"/>
  </w:num>
  <w:num w:numId="22" w16cid:durableId="1501654877">
    <w:abstractNumId w:val="21"/>
  </w:num>
  <w:num w:numId="23" w16cid:durableId="1599941442">
    <w:abstractNumId w:val="0"/>
  </w:num>
  <w:num w:numId="24" w16cid:durableId="1698385625">
    <w:abstractNumId w:val="23"/>
  </w:num>
  <w:num w:numId="25" w16cid:durableId="1684284257">
    <w:abstractNumId w:val="12"/>
  </w:num>
  <w:num w:numId="26" w16cid:durableId="773206376">
    <w:abstractNumId w:val="2"/>
  </w:num>
  <w:num w:numId="27" w16cid:durableId="414327225">
    <w:abstractNumId w:val="11"/>
  </w:num>
  <w:num w:numId="28" w16cid:durableId="639460805">
    <w:abstractNumId w:val="3"/>
  </w:num>
  <w:num w:numId="29" w16cid:durableId="1219324594">
    <w:abstractNumId w:val="31"/>
  </w:num>
  <w:num w:numId="30" w16cid:durableId="1689329668">
    <w:abstractNumId w:val="28"/>
  </w:num>
  <w:num w:numId="31" w16cid:durableId="209928894">
    <w:abstractNumId w:val="17"/>
  </w:num>
  <w:num w:numId="32" w16cid:durableId="1091466172">
    <w:abstractNumId w:val="14"/>
  </w:num>
  <w:num w:numId="33" w16cid:durableId="11731575">
    <w:abstractNumId w:val="24"/>
  </w:num>
  <w:num w:numId="34" w16cid:durableId="1734308606">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BB"/>
    <w:rsid w:val="000039D8"/>
    <w:rsid w:val="00010626"/>
    <w:rsid w:val="00011A7A"/>
    <w:rsid w:val="00011F4F"/>
    <w:rsid w:val="0001219B"/>
    <w:rsid w:val="0001430A"/>
    <w:rsid w:val="00014FF0"/>
    <w:rsid w:val="00015E7A"/>
    <w:rsid w:val="000302EE"/>
    <w:rsid w:val="000366F2"/>
    <w:rsid w:val="00041C7C"/>
    <w:rsid w:val="000452A4"/>
    <w:rsid w:val="00052E03"/>
    <w:rsid w:val="000558AD"/>
    <w:rsid w:val="00056A41"/>
    <w:rsid w:val="00065822"/>
    <w:rsid w:val="00082CD5"/>
    <w:rsid w:val="00087C95"/>
    <w:rsid w:val="00095E67"/>
    <w:rsid w:val="00097217"/>
    <w:rsid w:val="000A66E3"/>
    <w:rsid w:val="000B11A9"/>
    <w:rsid w:val="000B2F36"/>
    <w:rsid w:val="000C0080"/>
    <w:rsid w:val="000C0C04"/>
    <w:rsid w:val="000C57D8"/>
    <w:rsid w:val="000C6347"/>
    <w:rsid w:val="000C66E6"/>
    <w:rsid w:val="000C7708"/>
    <w:rsid w:val="000D4F75"/>
    <w:rsid w:val="000D63B7"/>
    <w:rsid w:val="000D67D7"/>
    <w:rsid w:val="000E06F4"/>
    <w:rsid w:val="000E6924"/>
    <w:rsid w:val="000F004B"/>
    <w:rsid w:val="000F1F34"/>
    <w:rsid w:val="000F4F78"/>
    <w:rsid w:val="000F6EF1"/>
    <w:rsid w:val="00101D68"/>
    <w:rsid w:val="00110B03"/>
    <w:rsid w:val="00110C87"/>
    <w:rsid w:val="00114B08"/>
    <w:rsid w:val="00115D14"/>
    <w:rsid w:val="001237F7"/>
    <w:rsid w:val="00127A91"/>
    <w:rsid w:val="00130354"/>
    <w:rsid w:val="00130C48"/>
    <w:rsid w:val="00130EE8"/>
    <w:rsid w:val="00131200"/>
    <w:rsid w:val="00134701"/>
    <w:rsid w:val="0013660A"/>
    <w:rsid w:val="001367D2"/>
    <w:rsid w:val="00143A13"/>
    <w:rsid w:val="00154446"/>
    <w:rsid w:val="001621B1"/>
    <w:rsid w:val="001669E2"/>
    <w:rsid w:val="00167F09"/>
    <w:rsid w:val="00170DF3"/>
    <w:rsid w:val="001733B9"/>
    <w:rsid w:val="00174E0A"/>
    <w:rsid w:val="00177765"/>
    <w:rsid w:val="001818A2"/>
    <w:rsid w:val="00183B37"/>
    <w:rsid w:val="0018733A"/>
    <w:rsid w:val="0019107C"/>
    <w:rsid w:val="00195233"/>
    <w:rsid w:val="00196344"/>
    <w:rsid w:val="001A6376"/>
    <w:rsid w:val="001B792E"/>
    <w:rsid w:val="001C25E3"/>
    <w:rsid w:val="001C73AF"/>
    <w:rsid w:val="001D060D"/>
    <w:rsid w:val="001D2E71"/>
    <w:rsid w:val="001D51D1"/>
    <w:rsid w:val="00204746"/>
    <w:rsid w:val="002160B3"/>
    <w:rsid w:val="002171BA"/>
    <w:rsid w:val="0023035C"/>
    <w:rsid w:val="00240F97"/>
    <w:rsid w:val="0024208F"/>
    <w:rsid w:val="002424C2"/>
    <w:rsid w:val="00246B79"/>
    <w:rsid w:val="00251BC1"/>
    <w:rsid w:val="00256BA7"/>
    <w:rsid w:val="00257419"/>
    <w:rsid w:val="00257797"/>
    <w:rsid w:val="00264D68"/>
    <w:rsid w:val="00265AF6"/>
    <w:rsid w:val="00266259"/>
    <w:rsid w:val="0026659A"/>
    <w:rsid w:val="00271A72"/>
    <w:rsid w:val="00275724"/>
    <w:rsid w:val="00280581"/>
    <w:rsid w:val="00284495"/>
    <w:rsid w:val="0028587D"/>
    <w:rsid w:val="00286933"/>
    <w:rsid w:val="00286EEB"/>
    <w:rsid w:val="0029211B"/>
    <w:rsid w:val="002A333C"/>
    <w:rsid w:val="002B1906"/>
    <w:rsid w:val="002C1774"/>
    <w:rsid w:val="002C2744"/>
    <w:rsid w:val="002C67F4"/>
    <w:rsid w:val="002D0E47"/>
    <w:rsid w:val="002D24B1"/>
    <w:rsid w:val="002E1BA1"/>
    <w:rsid w:val="002E1F3E"/>
    <w:rsid w:val="002E4C6D"/>
    <w:rsid w:val="002E5025"/>
    <w:rsid w:val="002E5922"/>
    <w:rsid w:val="002F01BA"/>
    <w:rsid w:val="002F0904"/>
    <w:rsid w:val="002F59E2"/>
    <w:rsid w:val="00300444"/>
    <w:rsid w:val="00304203"/>
    <w:rsid w:val="0030463F"/>
    <w:rsid w:val="0031559D"/>
    <w:rsid w:val="00316DA4"/>
    <w:rsid w:val="00321CA1"/>
    <w:rsid w:val="003220FE"/>
    <w:rsid w:val="0032210C"/>
    <w:rsid w:val="003251CB"/>
    <w:rsid w:val="0033133B"/>
    <w:rsid w:val="0033149C"/>
    <w:rsid w:val="003443E1"/>
    <w:rsid w:val="0034558B"/>
    <w:rsid w:val="00347210"/>
    <w:rsid w:val="00350D31"/>
    <w:rsid w:val="00356C6E"/>
    <w:rsid w:val="00357326"/>
    <w:rsid w:val="00360908"/>
    <w:rsid w:val="00361DAB"/>
    <w:rsid w:val="003623D5"/>
    <w:rsid w:val="00363094"/>
    <w:rsid w:val="00366F02"/>
    <w:rsid w:val="003713E6"/>
    <w:rsid w:val="00373B87"/>
    <w:rsid w:val="00377843"/>
    <w:rsid w:val="003805C3"/>
    <w:rsid w:val="003827F4"/>
    <w:rsid w:val="00391BDC"/>
    <w:rsid w:val="00393599"/>
    <w:rsid w:val="00393CC6"/>
    <w:rsid w:val="00395145"/>
    <w:rsid w:val="00395239"/>
    <w:rsid w:val="00395E12"/>
    <w:rsid w:val="00397129"/>
    <w:rsid w:val="003A306C"/>
    <w:rsid w:val="003A34A9"/>
    <w:rsid w:val="003B0E0C"/>
    <w:rsid w:val="003C025D"/>
    <w:rsid w:val="003C43BF"/>
    <w:rsid w:val="003C5849"/>
    <w:rsid w:val="003E1947"/>
    <w:rsid w:val="003F1BCC"/>
    <w:rsid w:val="0040227D"/>
    <w:rsid w:val="0040625D"/>
    <w:rsid w:val="004070A4"/>
    <w:rsid w:val="004103E0"/>
    <w:rsid w:val="00412516"/>
    <w:rsid w:val="00423257"/>
    <w:rsid w:val="004244E1"/>
    <w:rsid w:val="0042505C"/>
    <w:rsid w:val="0042765E"/>
    <w:rsid w:val="00436207"/>
    <w:rsid w:val="0044247E"/>
    <w:rsid w:val="00446C32"/>
    <w:rsid w:val="00446EBA"/>
    <w:rsid w:val="0044757B"/>
    <w:rsid w:val="00450C31"/>
    <w:rsid w:val="00453500"/>
    <w:rsid w:val="00455F75"/>
    <w:rsid w:val="004628CB"/>
    <w:rsid w:val="00464AEA"/>
    <w:rsid w:val="0046637D"/>
    <w:rsid w:val="004715AF"/>
    <w:rsid w:val="00472052"/>
    <w:rsid w:val="00474AAF"/>
    <w:rsid w:val="00480364"/>
    <w:rsid w:val="00481ADA"/>
    <w:rsid w:val="00481DB8"/>
    <w:rsid w:val="0048416E"/>
    <w:rsid w:val="00492B4F"/>
    <w:rsid w:val="004952F7"/>
    <w:rsid w:val="004A0F32"/>
    <w:rsid w:val="004A125A"/>
    <w:rsid w:val="004A506F"/>
    <w:rsid w:val="004B075F"/>
    <w:rsid w:val="004B2ECC"/>
    <w:rsid w:val="004B41B8"/>
    <w:rsid w:val="004B6EF2"/>
    <w:rsid w:val="004C0458"/>
    <w:rsid w:val="004C76D0"/>
    <w:rsid w:val="004C777B"/>
    <w:rsid w:val="004C799C"/>
    <w:rsid w:val="004D012E"/>
    <w:rsid w:val="004D1379"/>
    <w:rsid w:val="004D2EE7"/>
    <w:rsid w:val="004D75EF"/>
    <w:rsid w:val="004E26FC"/>
    <w:rsid w:val="004E3895"/>
    <w:rsid w:val="004E6204"/>
    <w:rsid w:val="004E6C92"/>
    <w:rsid w:val="004F0B17"/>
    <w:rsid w:val="004F3EE8"/>
    <w:rsid w:val="0050128B"/>
    <w:rsid w:val="00504C70"/>
    <w:rsid w:val="0051036D"/>
    <w:rsid w:val="00511514"/>
    <w:rsid w:val="00511DAF"/>
    <w:rsid w:val="00520574"/>
    <w:rsid w:val="00520B57"/>
    <w:rsid w:val="00522134"/>
    <w:rsid w:val="00537076"/>
    <w:rsid w:val="00540918"/>
    <w:rsid w:val="0054219A"/>
    <w:rsid w:val="00543C2B"/>
    <w:rsid w:val="00544968"/>
    <w:rsid w:val="005452EF"/>
    <w:rsid w:val="00553D05"/>
    <w:rsid w:val="00553E3A"/>
    <w:rsid w:val="00555C6D"/>
    <w:rsid w:val="00556A0A"/>
    <w:rsid w:val="00557839"/>
    <w:rsid w:val="00562C3E"/>
    <w:rsid w:val="00563919"/>
    <w:rsid w:val="005652C1"/>
    <w:rsid w:val="005702E6"/>
    <w:rsid w:val="00571842"/>
    <w:rsid w:val="00581933"/>
    <w:rsid w:val="00584D74"/>
    <w:rsid w:val="00590033"/>
    <w:rsid w:val="00594986"/>
    <w:rsid w:val="005A7488"/>
    <w:rsid w:val="005A7F50"/>
    <w:rsid w:val="005B46F0"/>
    <w:rsid w:val="005C185D"/>
    <w:rsid w:val="005C1BB6"/>
    <w:rsid w:val="005C21F8"/>
    <w:rsid w:val="005C722B"/>
    <w:rsid w:val="005C776E"/>
    <w:rsid w:val="005C7F65"/>
    <w:rsid w:val="005D1544"/>
    <w:rsid w:val="005D3E03"/>
    <w:rsid w:val="005D6D14"/>
    <w:rsid w:val="005E33A1"/>
    <w:rsid w:val="005F1DC7"/>
    <w:rsid w:val="005F4CB7"/>
    <w:rsid w:val="005F710C"/>
    <w:rsid w:val="005F727B"/>
    <w:rsid w:val="006030D5"/>
    <w:rsid w:val="00604703"/>
    <w:rsid w:val="00605EB5"/>
    <w:rsid w:val="00617BBB"/>
    <w:rsid w:val="00622A0D"/>
    <w:rsid w:val="0062715D"/>
    <w:rsid w:val="00634342"/>
    <w:rsid w:val="006466C2"/>
    <w:rsid w:val="0065036A"/>
    <w:rsid w:val="006503A1"/>
    <w:rsid w:val="00652EEC"/>
    <w:rsid w:val="00655A0D"/>
    <w:rsid w:val="006653D3"/>
    <w:rsid w:val="006658EE"/>
    <w:rsid w:val="006711BA"/>
    <w:rsid w:val="0067436F"/>
    <w:rsid w:val="00674E48"/>
    <w:rsid w:val="00675CA7"/>
    <w:rsid w:val="00676FA0"/>
    <w:rsid w:val="0068023B"/>
    <w:rsid w:val="00684C82"/>
    <w:rsid w:val="00692611"/>
    <w:rsid w:val="00693A0B"/>
    <w:rsid w:val="00695FD6"/>
    <w:rsid w:val="006A1576"/>
    <w:rsid w:val="006A2783"/>
    <w:rsid w:val="006A3F7C"/>
    <w:rsid w:val="006A506F"/>
    <w:rsid w:val="006A634E"/>
    <w:rsid w:val="006B5F42"/>
    <w:rsid w:val="006B6797"/>
    <w:rsid w:val="006B6BE7"/>
    <w:rsid w:val="006C0B0C"/>
    <w:rsid w:val="006C27CC"/>
    <w:rsid w:val="006C396A"/>
    <w:rsid w:val="006D3630"/>
    <w:rsid w:val="006D4CAB"/>
    <w:rsid w:val="006D5284"/>
    <w:rsid w:val="006E27C5"/>
    <w:rsid w:val="006E5301"/>
    <w:rsid w:val="006F1FB1"/>
    <w:rsid w:val="00701B0C"/>
    <w:rsid w:val="00702A5E"/>
    <w:rsid w:val="00704315"/>
    <w:rsid w:val="00707858"/>
    <w:rsid w:val="007125C0"/>
    <w:rsid w:val="00714229"/>
    <w:rsid w:val="00715E28"/>
    <w:rsid w:val="00717FC9"/>
    <w:rsid w:val="0072438C"/>
    <w:rsid w:val="00732762"/>
    <w:rsid w:val="00732BB1"/>
    <w:rsid w:val="0073379D"/>
    <w:rsid w:val="00734EA6"/>
    <w:rsid w:val="0073742B"/>
    <w:rsid w:val="00742FB9"/>
    <w:rsid w:val="007453BF"/>
    <w:rsid w:val="00753F38"/>
    <w:rsid w:val="00760BCF"/>
    <w:rsid w:val="007633F4"/>
    <w:rsid w:val="007645CC"/>
    <w:rsid w:val="00766D49"/>
    <w:rsid w:val="007719B7"/>
    <w:rsid w:val="00775DF5"/>
    <w:rsid w:val="007764D0"/>
    <w:rsid w:val="007823D6"/>
    <w:rsid w:val="0078784A"/>
    <w:rsid w:val="0079445D"/>
    <w:rsid w:val="007A7763"/>
    <w:rsid w:val="007B09A1"/>
    <w:rsid w:val="007B23AA"/>
    <w:rsid w:val="007B345C"/>
    <w:rsid w:val="007B59FC"/>
    <w:rsid w:val="007C038E"/>
    <w:rsid w:val="007C16AE"/>
    <w:rsid w:val="007C2C59"/>
    <w:rsid w:val="007C3B75"/>
    <w:rsid w:val="007C6998"/>
    <w:rsid w:val="007C6D05"/>
    <w:rsid w:val="007E073A"/>
    <w:rsid w:val="007E1577"/>
    <w:rsid w:val="007E403A"/>
    <w:rsid w:val="007E423C"/>
    <w:rsid w:val="007E62E2"/>
    <w:rsid w:val="007F6E8D"/>
    <w:rsid w:val="008000E4"/>
    <w:rsid w:val="00811181"/>
    <w:rsid w:val="008149A9"/>
    <w:rsid w:val="00820D64"/>
    <w:rsid w:val="00824234"/>
    <w:rsid w:val="00824C89"/>
    <w:rsid w:val="00827D54"/>
    <w:rsid w:val="00830A54"/>
    <w:rsid w:val="0083200E"/>
    <w:rsid w:val="00842FB6"/>
    <w:rsid w:val="00845408"/>
    <w:rsid w:val="00850E94"/>
    <w:rsid w:val="00851243"/>
    <w:rsid w:val="0085324C"/>
    <w:rsid w:val="00865A8B"/>
    <w:rsid w:val="00870C57"/>
    <w:rsid w:val="008742D5"/>
    <w:rsid w:val="00875740"/>
    <w:rsid w:val="00880FD0"/>
    <w:rsid w:val="008839CC"/>
    <w:rsid w:val="00883D70"/>
    <w:rsid w:val="00886E2E"/>
    <w:rsid w:val="00892439"/>
    <w:rsid w:val="00896BB3"/>
    <w:rsid w:val="00896D1A"/>
    <w:rsid w:val="008A304E"/>
    <w:rsid w:val="008A4B1F"/>
    <w:rsid w:val="008A4BFE"/>
    <w:rsid w:val="008A5B62"/>
    <w:rsid w:val="008A696D"/>
    <w:rsid w:val="008B73CC"/>
    <w:rsid w:val="008B7C79"/>
    <w:rsid w:val="008C7BE9"/>
    <w:rsid w:val="008D0295"/>
    <w:rsid w:val="008D0B36"/>
    <w:rsid w:val="008D117C"/>
    <w:rsid w:val="008D2682"/>
    <w:rsid w:val="008E097F"/>
    <w:rsid w:val="008E0A4C"/>
    <w:rsid w:val="008E1C11"/>
    <w:rsid w:val="008E441F"/>
    <w:rsid w:val="008E7577"/>
    <w:rsid w:val="008F0881"/>
    <w:rsid w:val="008F323C"/>
    <w:rsid w:val="008F3C9D"/>
    <w:rsid w:val="008F48FB"/>
    <w:rsid w:val="008F4E04"/>
    <w:rsid w:val="009023D0"/>
    <w:rsid w:val="00910936"/>
    <w:rsid w:val="00910BEC"/>
    <w:rsid w:val="0092023F"/>
    <w:rsid w:val="009203C7"/>
    <w:rsid w:val="00924462"/>
    <w:rsid w:val="009261E5"/>
    <w:rsid w:val="009311F2"/>
    <w:rsid w:val="00932AB6"/>
    <w:rsid w:val="00937A53"/>
    <w:rsid w:val="00955B0D"/>
    <w:rsid w:val="00965836"/>
    <w:rsid w:val="00967D32"/>
    <w:rsid w:val="009701DD"/>
    <w:rsid w:val="00975B37"/>
    <w:rsid w:val="00976520"/>
    <w:rsid w:val="00982CD3"/>
    <w:rsid w:val="00983042"/>
    <w:rsid w:val="0098417A"/>
    <w:rsid w:val="009843F6"/>
    <w:rsid w:val="00984DD4"/>
    <w:rsid w:val="009850E1"/>
    <w:rsid w:val="009957F3"/>
    <w:rsid w:val="00995CBB"/>
    <w:rsid w:val="009965F7"/>
    <w:rsid w:val="009A4B3F"/>
    <w:rsid w:val="009B48B6"/>
    <w:rsid w:val="009B4F00"/>
    <w:rsid w:val="009B7A54"/>
    <w:rsid w:val="009C665C"/>
    <w:rsid w:val="009D1846"/>
    <w:rsid w:val="009D1CA5"/>
    <w:rsid w:val="009D33E3"/>
    <w:rsid w:val="009D402E"/>
    <w:rsid w:val="009D546C"/>
    <w:rsid w:val="009D6AE9"/>
    <w:rsid w:val="009E46B1"/>
    <w:rsid w:val="009E72FC"/>
    <w:rsid w:val="009F0B87"/>
    <w:rsid w:val="009F3F37"/>
    <w:rsid w:val="009F78F9"/>
    <w:rsid w:val="00A06963"/>
    <w:rsid w:val="00A06E53"/>
    <w:rsid w:val="00A15E68"/>
    <w:rsid w:val="00A20B47"/>
    <w:rsid w:val="00A274C7"/>
    <w:rsid w:val="00A27883"/>
    <w:rsid w:val="00A36B91"/>
    <w:rsid w:val="00A3771C"/>
    <w:rsid w:val="00A448EF"/>
    <w:rsid w:val="00A578FE"/>
    <w:rsid w:val="00A57DDD"/>
    <w:rsid w:val="00A62B8A"/>
    <w:rsid w:val="00A666F9"/>
    <w:rsid w:val="00A72302"/>
    <w:rsid w:val="00A7376F"/>
    <w:rsid w:val="00A74510"/>
    <w:rsid w:val="00A7643D"/>
    <w:rsid w:val="00A81AC1"/>
    <w:rsid w:val="00A856D2"/>
    <w:rsid w:val="00A86BAA"/>
    <w:rsid w:val="00A9084F"/>
    <w:rsid w:val="00AA01E2"/>
    <w:rsid w:val="00AA0CF8"/>
    <w:rsid w:val="00AA12E9"/>
    <w:rsid w:val="00AA1BE7"/>
    <w:rsid w:val="00AB5D63"/>
    <w:rsid w:val="00AB5FC8"/>
    <w:rsid w:val="00AC0A89"/>
    <w:rsid w:val="00AC0BD6"/>
    <w:rsid w:val="00AC13E5"/>
    <w:rsid w:val="00AC1B11"/>
    <w:rsid w:val="00AC24F8"/>
    <w:rsid w:val="00AC6BAB"/>
    <w:rsid w:val="00AD627F"/>
    <w:rsid w:val="00AD7893"/>
    <w:rsid w:val="00AE3BB4"/>
    <w:rsid w:val="00AE5C09"/>
    <w:rsid w:val="00AE6E84"/>
    <w:rsid w:val="00AE72C7"/>
    <w:rsid w:val="00AE7EFB"/>
    <w:rsid w:val="00AF235E"/>
    <w:rsid w:val="00AF57C2"/>
    <w:rsid w:val="00AF5C44"/>
    <w:rsid w:val="00B01B39"/>
    <w:rsid w:val="00B0348B"/>
    <w:rsid w:val="00B11545"/>
    <w:rsid w:val="00B174BB"/>
    <w:rsid w:val="00B21D6B"/>
    <w:rsid w:val="00B26860"/>
    <w:rsid w:val="00B33CB1"/>
    <w:rsid w:val="00B35E7C"/>
    <w:rsid w:val="00B53B61"/>
    <w:rsid w:val="00B60773"/>
    <w:rsid w:val="00B64375"/>
    <w:rsid w:val="00B64A2C"/>
    <w:rsid w:val="00B66E79"/>
    <w:rsid w:val="00B72F9E"/>
    <w:rsid w:val="00B815FC"/>
    <w:rsid w:val="00B928E4"/>
    <w:rsid w:val="00B93925"/>
    <w:rsid w:val="00B946EC"/>
    <w:rsid w:val="00B976B0"/>
    <w:rsid w:val="00B976C5"/>
    <w:rsid w:val="00BA1470"/>
    <w:rsid w:val="00BA407A"/>
    <w:rsid w:val="00BA410F"/>
    <w:rsid w:val="00BB1030"/>
    <w:rsid w:val="00BB5E82"/>
    <w:rsid w:val="00BB665C"/>
    <w:rsid w:val="00BB6993"/>
    <w:rsid w:val="00BC5283"/>
    <w:rsid w:val="00BD5D1C"/>
    <w:rsid w:val="00BE0109"/>
    <w:rsid w:val="00BE2012"/>
    <w:rsid w:val="00BE3AA0"/>
    <w:rsid w:val="00BF55D9"/>
    <w:rsid w:val="00C072ED"/>
    <w:rsid w:val="00C07EE4"/>
    <w:rsid w:val="00C10E5F"/>
    <w:rsid w:val="00C12CC7"/>
    <w:rsid w:val="00C21A29"/>
    <w:rsid w:val="00C21D21"/>
    <w:rsid w:val="00C2537C"/>
    <w:rsid w:val="00C33B6E"/>
    <w:rsid w:val="00C3514B"/>
    <w:rsid w:val="00C372C8"/>
    <w:rsid w:val="00C40FF4"/>
    <w:rsid w:val="00C459F1"/>
    <w:rsid w:val="00C47734"/>
    <w:rsid w:val="00C54A98"/>
    <w:rsid w:val="00C54BE8"/>
    <w:rsid w:val="00C5641B"/>
    <w:rsid w:val="00C623E7"/>
    <w:rsid w:val="00C65E0F"/>
    <w:rsid w:val="00C71DE2"/>
    <w:rsid w:val="00C76F5B"/>
    <w:rsid w:val="00C82C3D"/>
    <w:rsid w:val="00C82C42"/>
    <w:rsid w:val="00C848A7"/>
    <w:rsid w:val="00C85C74"/>
    <w:rsid w:val="00C927E8"/>
    <w:rsid w:val="00C93BF9"/>
    <w:rsid w:val="00C96A35"/>
    <w:rsid w:val="00CA28B6"/>
    <w:rsid w:val="00CC108E"/>
    <w:rsid w:val="00CC1524"/>
    <w:rsid w:val="00CC3A03"/>
    <w:rsid w:val="00CD567F"/>
    <w:rsid w:val="00CD5A1E"/>
    <w:rsid w:val="00CD7C30"/>
    <w:rsid w:val="00CE1887"/>
    <w:rsid w:val="00CE4FE8"/>
    <w:rsid w:val="00CF0BFC"/>
    <w:rsid w:val="00CF5B4E"/>
    <w:rsid w:val="00CF5DE1"/>
    <w:rsid w:val="00D001DC"/>
    <w:rsid w:val="00D12A63"/>
    <w:rsid w:val="00D13CCA"/>
    <w:rsid w:val="00D224C2"/>
    <w:rsid w:val="00D233BA"/>
    <w:rsid w:val="00D23F11"/>
    <w:rsid w:val="00D24FB4"/>
    <w:rsid w:val="00D25F6E"/>
    <w:rsid w:val="00D3415A"/>
    <w:rsid w:val="00D3653A"/>
    <w:rsid w:val="00D40122"/>
    <w:rsid w:val="00D43F96"/>
    <w:rsid w:val="00D4792C"/>
    <w:rsid w:val="00D57213"/>
    <w:rsid w:val="00D64BCD"/>
    <w:rsid w:val="00D66A1C"/>
    <w:rsid w:val="00D6747B"/>
    <w:rsid w:val="00D77533"/>
    <w:rsid w:val="00D77F1B"/>
    <w:rsid w:val="00D81E94"/>
    <w:rsid w:val="00D836C6"/>
    <w:rsid w:val="00D83741"/>
    <w:rsid w:val="00D83D8C"/>
    <w:rsid w:val="00D85A2E"/>
    <w:rsid w:val="00D8766F"/>
    <w:rsid w:val="00D91199"/>
    <w:rsid w:val="00D921B9"/>
    <w:rsid w:val="00D936D9"/>
    <w:rsid w:val="00D96E1D"/>
    <w:rsid w:val="00DA2D93"/>
    <w:rsid w:val="00DA4C64"/>
    <w:rsid w:val="00DA54A1"/>
    <w:rsid w:val="00DA71EF"/>
    <w:rsid w:val="00DB063A"/>
    <w:rsid w:val="00DB1F6A"/>
    <w:rsid w:val="00DB38CB"/>
    <w:rsid w:val="00DB3DAB"/>
    <w:rsid w:val="00DB4B72"/>
    <w:rsid w:val="00DB4B78"/>
    <w:rsid w:val="00DB4C9F"/>
    <w:rsid w:val="00DB7E45"/>
    <w:rsid w:val="00DC2BF3"/>
    <w:rsid w:val="00DC563E"/>
    <w:rsid w:val="00DC7B8F"/>
    <w:rsid w:val="00DD122C"/>
    <w:rsid w:val="00DE1483"/>
    <w:rsid w:val="00DE4CD6"/>
    <w:rsid w:val="00DE593B"/>
    <w:rsid w:val="00DE670F"/>
    <w:rsid w:val="00DF437D"/>
    <w:rsid w:val="00DF6657"/>
    <w:rsid w:val="00DF7EA6"/>
    <w:rsid w:val="00E11034"/>
    <w:rsid w:val="00E1221B"/>
    <w:rsid w:val="00E176AC"/>
    <w:rsid w:val="00E17D4A"/>
    <w:rsid w:val="00E20D52"/>
    <w:rsid w:val="00E224F5"/>
    <w:rsid w:val="00E22C2A"/>
    <w:rsid w:val="00E24DB8"/>
    <w:rsid w:val="00E26A38"/>
    <w:rsid w:val="00E32D9E"/>
    <w:rsid w:val="00E339DB"/>
    <w:rsid w:val="00E44253"/>
    <w:rsid w:val="00E45C76"/>
    <w:rsid w:val="00E46660"/>
    <w:rsid w:val="00E47D70"/>
    <w:rsid w:val="00E51F23"/>
    <w:rsid w:val="00E51FF6"/>
    <w:rsid w:val="00E55850"/>
    <w:rsid w:val="00E573A7"/>
    <w:rsid w:val="00E635FB"/>
    <w:rsid w:val="00E65C84"/>
    <w:rsid w:val="00E72B51"/>
    <w:rsid w:val="00E82736"/>
    <w:rsid w:val="00E84147"/>
    <w:rsid w:val="00EA0760"/>
    <w:rsid w:val="00EA13F1"/>
    <w:rsid w:val="00EA4782"/>
    <w:rsid w:val="00EA728D"/>
    <w:rsid w:val="00EB0501"/>
    <w:rsid w:val="00EB2E58"/>
    <w:rsid w:val="00EB4D64"/>
    <w:rsid w:val="00EC030A"/>
    <w:rsid w:val="00EC2BF3"/>
    <w:rsid w:val="00EC3E08"/>
    <w:rsid w:val="00EC4831"/>
    <w:rsid w:val="00ED2371"/>
    <w:rsid w:val="00EE56F2"/>
    <w:rsid w:val="00EE7544"/>
    <w:rsid w:val="00EF1EA2"/>
    <w:rsid w:val="00EF20E1"/>
    <w:rsid w:val="00F002F3"/>
    <w:rsid w:val="00F075B5"/>
    <w:rsid w:val="00F142A9"/>
    <w:rsid w:val="00F164F5"/>
    <w:rsid w:val="00F17A58"/>
    <w:rsid w:val="00F22F72"/>
    <w:rsid w:val="00F275D3"/>
    <w:rsid w:val="00F27B08"/>
    <w:rsid w:val="00F30276"/>
    <w:rsid w:val="00F342C7"/>
    <w:rsid w:val="00F4175F"/>
    <w:rsid w:val="00F42210"/>
    <w:rsid w:val="00F4449E"/>
    <w:rsid w:val="00F45B34"/>
    <w:rsid w:val="00F627EF"/>
    <w:rsid w:val="00F71903"/>
    <w:rsid w:val="00F726D4"/>
    <w:rsid w:val="00F81C9A"/>
    <w:rsid w:val="00F867FA"/>
    <w:rsid w:val="00F91DF8"/>
    <w:rsid w:val="00F939A4"/>
    <w:rsid w:val="00F95924"/>
    <w:rsid w:val="00FA108A"/>
    <w:rsid w:val="00FA5322"/>
    <w:rsid w:val="00FB0353"/>
    <w:rsid w:val="00FB19FB"/>
    <w:rsid w:val="00FC7B09"/>
    <w:rsid w:val="00FD2FF9"/>
    <w:rsid w:val="00FD646A"/>
    <w:rsid w:val="00FD6892"/>
    <w:rsid w:val="00FE05D2"/>
    <w:rsid w:val="00FE1334"/>
    <w:rsid w:val="00FE1968"/>
    <w:rsid w:val="00FE55DB"/>
    <w:rsid w:val="00FE736E"/>
    <w:rsid w:val="00FF2023"/>
    <w:rsid w:val="00FF6A73"/>
    <w:rsid w:val="00FF7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D84962"/>
  <w15:chartTrackingRefBased/>
  <w15:docId w15:val="{CB2680B4-D3FA-48E5-B94C-844E2A9F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1A"/>
  </w:style>
  <w:style w:type="paragraph" w:styleId="Heading1">
    <w:name w:val="heading 1"/>
    <w:basedOn w:val="Normal"/>
    <w:next w:val="Normal"/>
    <w:link w:val="Heading1Char"/>
    <w:uiPriority w:val="9"/>
    <w:qFormat/>
    <w:rsid w:val="00544968"/>
    <w:pPr>
      <w:keepNext/>
      <w:keepLines/>
      <w:spacing w:before="240" w:after="0" w:line="259" w:lineRule="auto"/>
      <w:outlineLvl w:val="0"/>
    </w:pPr>
    <w:rPr>
      <w:rFonts w:ascii="Arial" w:eastAsiaTheme="majorEastAsia" w:hAnsi="Arial" w:cstheme="majorBidi"/>
      <w:b/>
      <w:kern w:val="2"/>
      <w:sz w:val="28"/>
      <w:szCs w:val="32"/>
      <w14:ligatures w14:val="standardContextual"/>
    </w:rPr>
  </w:style>
  <w:style w:type="paragraph" w:styleId="Heading2">
    <w:name w:val="heading 2"/>
    <w:basedOn w:val="Normal"/>
    <w:next w:val="Normal"/>
    <w:link w:val="Heading2Char"/>
    <w:uiPriority w:val="9"/>
    <w:unhideWhenUsed/>
    <w:qFormat/>
    <w:rsid w:val="00544968"/>
    <w:pPr>
      <w:keepNext/>
      <w:keepLines/>
      <w:spacing w:before="40" w:after="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9957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B174BB"/>
    <w:pPr>
      <w:ind w:left="720"/>
      <w:contextualSpacing/>
    </w:pPr>
  </w:style>
  <w:style w:type="paragraph" w:styleId="Header">
    <w:name w:val="header"/>
    <w:basedOn w:val="Normal"/>
    <w:link w:val="HeaderChar"/>
    <w:uiPriority w:val="99"/>
    <w:unhideWhenUsed/>
    <w:rsid w:val="00286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EEB"/>
  </w:style>
  <w:style w:type="paragraph" w:styleId="Footer">
    <w:name w:val="footer"/>
    <w:basedOn w:val="Normal"/>
    <w:link w:val="FooterChar"/>
    <w:uiPriority w:val="99"/>
    <w:unhideWhenUsed/>
    <w:rsid w:val="00286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EEB"/>
  </w:style>
  <w:style w:type="table" w:styleId="TableGrid">
    <w:name w:val="Table Grid"/>
    <w:basedOn w:val="TableNormal"/>
    <w:uiPriority w:val="59"/>
    <w:rsid w:val="008F3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B62"/>
    <w:rPr>
      <w:color w:val="0000FF" w:themeColor="hyperlink"/>
      <w:u w:val="single"/>
    </w:rPr>
  </w:style>
  <w:style w:type="character" w:styleId="UnresolvedMention">
    <w:name w:val="Unresolved Mention"/>
    <w:basedOn w:val="DefaultParagraphFont"/>
    <w:uiPriority w:val="99"/>
    <w:semiHidden/>
    <w:unhideWhenUsed/>
    <w:rsid w:val="008A5B62"/>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3C43BF"/>
  </w:style>
  <w:style w:type="character" w:styleId="CommentReference">
    <w:name w:val="annotation reference"/>
    <w:basedOn w:val="DefaultParagraphFont"/>
    <w:uiPriority w:val="99"/>
    <w:semiHidden/>
    <w:unhideWhenUsed/>
    <w:rsid w:val="00B976C5"/>
    <w:rPr>
      <w:sz w:val="16"/>
      <w:szCs w:val="16"/>
    </w:rPr>
  </w:style>
  <w:style w:type="paragraph" w:styleId="CommentText">
    <w:name w:val="annotation text"/>
    <w:basedOn w:val="Normal"/>
    <w:link w:val="CommentTextChar"/>
    <w:uiPriority w:val="99"/>
    <w:unhideWhenUsed/>
    <w:rsid w:val="00B976C5"/>
    <w:pPr>
      <w:spacing w:line="240" w:lineRule="auto"/>
    </w:pPr>
    <w:rPr>
      <w:sz w:val="20"/>
      <w:szCs w:val="20"/>
    </w:rPr>
  </w:style>
  <w:style w:type="character" w:customStyle="1" w:styleId="CommentTextChar">
    <w:name w:val="Comment Text Char"/>
    <w:basedOn w:val="DefaultParagraphFont"/>
    <w:link w:val="CommentText"/>
    <w:uiPriority w:val="99"/>
    <w:rsid w:val="00B976C5"/>
    <w:rPr>
      <w:sz w:val="20"/>
      <w:szCs w:val="20"/>
    </w:rPr>
  </w:style>
  <w:style w:type="paragraph" w:styleId="CommentSubject">
    <w:name w:val="annotation subject"/>
    <w:basedOn w:val="CommentText"/>
    <w:next w:val="CommentText"/>
    <w:link w:val="CommentSubjectChar"/>
    <w:uiPriority w:val="99"/>
    <w:semiHidden/>
    <w:unhideWhenUsed/>
    <w:rsid w:val="00B976C5"/>
    <w:rPr>
      <w:b/>
      <w:bCs/>
    </w:rPr>
  </w:style>
  <w:style w:type="character" w:customStyle="1" w:styleId="CommentSubjectChar">
    <w:name w:val="Comment Subject Char"/>
    <w:basedOn w:val="CommentTextChar"/>
    <w:link w:val="CommentSubject"/>
    <w:uiPriority w:val="99"/>
    <w:semiHidden/>
    <w:rsid w:val="00B976C5"/>
    <w:rPr>
      <w:b/>
      <w:bCs/>
      <w:sz w:val="20"/>
      <w:szCs w:val="20"/>
    </w:rPr>
  </w:style>
  <w:style w:type="paragraph" w:styleId="Revision">
    <w:name w:val="Revision"/>
    <w:hidden/>
    <w:uiPriority w:val="99"/>
    <w:semiHidden/>
    <w:rsid w:val="00811181"/>
    <w:pPr>
      <w:spacing w:after="0" w:line="240" w:lineRule="auto"/>
    </w:pPr>
  </w:style>
  <w:style w:type="character" w:customStyle="1" w:styleId="ui-provider">
    <w:name w:val="ui-provider"/>
    <w:basedOn w:val="DefaultParagraphFont"/>
    <w:rsid w:val="00924462"/>
  </w:style>
  <w:style w:type="character" w:customStyle="1" w:styleId="Heading1Char">
    <w:name w:val="Heading 1 Char"/>
    <w:basedOn w:val="DefaultParagraphFont"/>
    <w:link w:val="Heading1"/>
    <w:uiPriority w:val="9"/>
    <w:rsid w:val="00544968"/>
    <w:rPr>
      <w:rFonts w:ascii="Arial" w:eastAsiaTheme="majorEastAsia" w:hAnsi="Arial" w:cstheme="majorBidi"/>
      <w:b/>
      <w:kern w:val="2"/>
      <w:sz w:val="28"/>
      <w:szCs w:val="32"/>
      <w14:ligatures w14:val="standardContextual"/>
    </w:rPr>
  </w:style>
  <w:style w:type="character" w:styleId="FollowedHyperlink">
    <w:name w:val="FollowedHyperlink"/>
    <w:basedOn w:val="DefaultParagraphFont"/>
    <w:uiPriority w:val="99"/>
    <w:semiHidden/>
    <w:unhideWhenUsed/>
    <w:rsid w:val="00DC563E"/>
    <w:rPr>
      <w:color w:val="800080" w:themeColor="followedHyperlink"/>
      <w:u w:val="single"/>
    </w:rPr>
  </w:style>
  <w:style w:type="paragraph" w:customStyle="1" w:styleId="Default">
    <w:name w:val="Default"/>
    <w:rsid w:val="00464AEA"/>
    <w:pPr>
      <w:autoSpaceDE w:val="0"/>
      <w:autoSpaceDN w:val="0"/>
      <w:adjustRightInd w:val="0"/>
      <w:spacing w:after="0" w:line="240" w:lineRule="auto"/>
    </w:pPr>
    <w:rPr>
      <w:rFonts w:ascii="Arial" w:hAnsi="Arial" w:cs="Arial"/>
      <w:color w:val="000000"/>
      <w:sz w:val="24"/>
      <w:szCs w:val="24"/>
    </w:rPr>
  </w:style>
  <w:style w:type="paragraph" w:customStyle="1" w:styleId="xxmsonormal">
    <w:name w:val="x_xmsonormal"/>
    <w:basedOn w:val="Normal"/>
    <w:rsid w:val="00827D54"/>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286933"/>
    <w:pPr>
      <w:outlineLvl w:val="9"/>
    </w:pPr>
    <w:rPr>
      <w:kern w:val="0"/>
      <w:lang w:val="en-US"/>
      <w14:ligatures w14:val="none"/>
    </w:rPr>
  </w:style>
  <w:style w:type="character" w:customStyle="1" w:styleId="Heading2Char">
    <w:name w:val="Heading 2 Char"/>
    <w:basedOn w:val="DefaultParagraphFont"/>
    <w:link w:val="Heading2"/>
    <w:uiPriority w:val="9"/>
    <w:rsid w:val="00544968"/>
    <w:rPr>
      <w:rFonts w:ascii="Arial" w:eastAsiaTheme="majorEastAsia" w:hAnsi="Arial" w:cstheme="majorBidi"/>
      <w:b/>
      <w:sz w:val="24"/>
      <w:szCs w:val="26"/>
    </w:rPr>
  </w:style>
  <w:style w:type="paragraph" w:styleId="TOC1">
    <w:name w:val="toc 1"/>
    <w:basedOn w:val="Normal"/>
    <w:next w:val="Normal"/>
    <w:autoRedefine/>
    <w:uiPriority w:val="39"/>
    <w:unhideWhenUsed/>
    <w:rsid w:val="00544968"/>
    <w:pPr>
      <w:spacing w:after="100"/>
    </w:pPr>
  </w:style>
  <w:style w:type="paragraph" w:styleId="TOC2">
    <w:name w:val="toc 2"/>
    <w:basedOn w:val="Normal"/>
    <w:next w:val="Normal"/>
    <w:autoRedefine/>
    <w:uiPriority w:val="39"/>
    <w:unhideWhenUsed/>
    <w:rsid w:val="00544968"/>
    <w:pPr>
      <w:spacing w:after="100"/>
      <w:ind w:left="220"/>
    </w:pPr>
  </w:style>
  <w:style w:type="character" w:styleId="Strong">
    <w:name w:val="Strong"/>
    <w:basedOn w:val="DefaultParagraphFont"/>
    <w:uiPriority w:val="22"/>
    <w:qFormat/>
    <w:rsid w:val="000F1F34"/>
    <w:rPr>
      <w:b/>
      <w:bCs/>
    </w:rPr>
  </w:style>
  <w:style w:type="paragraph" w:styleId="NormalWeb">
    <w:name w:val="Normal (Web)"/>
    <w:basedOn w:val="Normal"/>
    <w:uiPriority w:val="99"/>
    <w:unhideWhenUsed/>
    <w:rsid w:val="000F1F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9957F3"/>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22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0FE"/>
    <w:rPr>
      <w:sz w:val="20"/>
      <w:szCs w:val="20"/>
    </w:rPr>
  </w:style>
  <w:style w:type="character" w:styleId="FootnoteReference">
    <w:name w:val="footnote reference"/>
    <w:basedOn w:val="DefaultParagraphFont"/>
    <w:uiPriority w:val="99"/>
    <w:semiHidden/>
    <w:unhideWhenUsed/>
    <w:rsid w:val="003220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3719">
      <w:bodyDiv w:val="1"/>
      <w:marLeft w:val="0"/>
      <w:marRight w:val="0"/>
      <w:marTop w:val="0"/>
      <w:marBottom w:val="0"/>
      <w:divBdr>
        <w:top w:val="none" w:sz="0" w:space="0" w:color="auto"/>
        <w:left w:val="none" w:sz="0" w:space="0" w:color="auto"/>
        <w:bottom w:val="none" w:sz="0" w:space="0" w:color="auto"/>
        <w:right w:val="none" w:sz="0" w:space="0" w:color="auto"/>
      </w:divBdr>
    </w:div>
    <w:div w:id="114718158">
      <w:bodyDiv w:val="1"/>
      <w:marLeft w:val="0"/>
      <w:marRight w:val="0"/>
      <w:marTop w:val="0"/>
      <w:marBottom w:val="0"/>
      <w:divBdr>
        <w:top w:val="none" w:sz="0" w:space="0" w:color="auto"/>
        <w:left w:val="none" w:sz="0" w:space="0" w:color="auto"/>
        <w:bottom w:val="none" w:sz="0" w:space="0" w:color="auto"/>
        <w:right w:val="none" w:sz="0" w:space="0" w:color="auto"/>
      </w:divBdr>
    </w:div>
    <w:div w:id="170070614">
      <w:bodyDiv w:val="1"/>
      <w:marLeft w:val="0"/>
      <w:marRight w:val="0"/>
      <w:marTop w:val="0"/>
      <w:marBottom w:val="0"/>
      <w:divBdr>
        <w:top w:val="none" w:sz="0" w:space="0" w:color="auto"/>
        <w:left w:val="none" w:sz="0" w:space="0" w:color="auto"/>
        <w:bottom w:val="none" w:sz="0" w:space="0" w:color="auto"/>
        <w:right w:val="none" w:sz="0" w:space="0" w:color="auto"/>
      </w:divBdr>
    </w:div>
    <w:div w:id="253899170">
      <w:bodyDiv w:val="1"/>
      <w:marLeft w:val="0"/>
      <w:marRight w:val="0"/>
      <w:marTop w:val="0"/>
      <w:marBottom w:val="0"/>
      <w:divBdr>
        <w:top w:val="none" w:sz="0" w:space="0" w:color="auto"/>
        <w:left w:val="none" w:sz="0" w:space="0" w:color="auto"/>
        <w:bottom w:val="none" w:sz="0" w:space="0" w:color="auto"/>
        <w:right w:val="none" w:sz="0" w:space="0" w:color="auto"/>
      </w:divBdr>
    </w:div>
    <w:div w:id="261189227">
      <w:bodyDiv w:val="1"/>
      <w:marLeft w:val="0"/>
      <w:marRight w:val="0"/>
      <w:marTop w:val="0"/>
      <w:marBottom w:val="0"/>
      <w:divBdr>
        <w:top w:val="none" w:sz="0" w:space="0" w:color="auto"/>
        <w:left w:val="none" w:sz="0" w:space="0" w:color="auto"/>
        <w:bottom w:val="none" w:sz="0" w:space="0" w:color="auto"/>
        <w:right w:val="none" w:sz="0" w:space="0" w:color="auto"/>
      </w:divBdr>
    </w:div>
    <w:div w:id="302001565">
      <w:bodyDiv w:val="1"/>
      <w:marLeft w:val="0"/>
      <w:marRight w:val="0"/>
      <w:marTop w:val="0"/>
      <w:marBottom w:val="0"/>
      <w:divBdr>
        <w:top w:val="none" w:sz="0" w:space="0" w:color="auto"/>
        <w:left w:val="none" w:sz="0" w:space="0" w:color="auto"/>
        <w:bottom w:val="none" w:sz="0" w:space="0" w:color="auto"/>
        <w:right w:val="none" w:sz="0" w:space="0" w:color="auto"/>
      </w:divBdr>
      <w:divsChild>
        <w:div w:id="1670408667">
          <w:marLeft w:val="0"/>
          <w:marRight w:val="0"/>
          <w:marTop w:val="0"/>
          <w:marBottom w:val="0"/>
          <w:divBdr>
            <w:top w:val="none" w:sz="0" w:space="0" w:color="auto"/>
            <w:left w:val="none" w:sz="0" w:space="0" w:color="auto"/>
            <w:bottom w:val="none" w:sz="0" w:space="0" w:color="auto"/>
            <w:right w:val="none" w:sz="0" w:space="0" w:color="auto"/>
          </w:divBdr>
        </w:div>
      </w:divsChild>
    </w:div>
    <w:div w:id="398553933">
      <w:bodyDiv w:val="1"/>
      <w:marLeft w:val="0"/>
      <w:marRight w:val="0"/>
      <w:marTop w:val="0"/>
      <w:marBottom w:val="0"/>
      <w:divBdr>
        <w:top w:val="none" w:sz="0" w:space="0" w:color="auto"/>
        <w:left w:val="none" w:sz="0" w:space="0" w:color="auto"/>
        <w:bottom w:val="none" w:sz="0" w:space="0" w:color="auto"/>
        <w:right w:val="none" w:sz="0" w:space="0" w:color="auto"/>
      </w:divBdr>
    </w:div>
    <w:div w:id="407114801">
      <w:bodyDiv w:val="1"/>
      <w:marLeft w:val="0"/>
      <w:marRight w:val="0"/>
      <w:marTop w:val="0"/>
      <w:marBottom w:val="0"/>
      <w:divBdr>
        <w:top w:val="none" w:sz="0" w:space="0" w:color="auto"/>
        <w:left w:val="none" w:sz="0" w:space="0" w:color="auto"/>
        <w:bottom w:val="none" w:sz="0" w:space="0" w:color="auto"/>
        <w:right w:val="none" w:sz="0" w:space="0" w:color="auto"/>
      </w:divBdr>
    </w:div>
    <w:div w:id="459962420">
      <w:bodyDiv w:val="1"/>
      <w:marLeft w:val="0"/>
      <w:marRight w:val="0"/>
      <w:marTop w:val="0"/>
      <w:marBottom w:val="0"/>
      <w:divBdr>
        <w:top w:val="none" w:sz="0" w:space="0" w:color="auto"/>
        <w:left w:val="none" w:sz="0" w:space="0" w:color="auto"/>
        <w:bottom w:val="none" w:sz="0" w:space="0" w:color="auto"/>
        <w:right w:val="none" w:sz="0" w:space="0" w:color="auto"/>
      </w:divBdr>
    </w:div>
    <w:div w:id="464587755">
      <w:bodyDiv w:val="1"/>
      <w:marLeft w:val="0"/>
      <w:marRight w:val="0"/>
      <w:marTop w:val="0"/>
      <w:marBottom w:val="0"/>
      <w:divBdr>
        <w:top w:val="none" w:sz="0" w:space="0" w:color="auto"/>
        <w:left w:val="none" w:sz="0" w:space="0" w:color="auto"/>
        <w:bottom w:val="none" w:sz="0" w:space="0" w:color="auto"/>
        <w:right w:val="none" w:sz="0" w:space="0" w:color="auto"/>
      </w:divBdr>
    </w:div>
    <w:div w:id="553664439">
      <w:bodyDiv w:val="1"/>
      <w:marLeft w:val="0"/>
      <w:marRight w:val="0"/>
      <w:marTop w:val="0"/>
      <w:marBottom w:val="0"/>
      <w:divBdr>
        <w:top w:val="none" w:sz="0" w:space="0" w:color="auto"/>
        <w:left w:val="none" w:sz="0" w:space="0" w:color="auto"/>
        <w:bottom w:val="none" w:sz="0" w:space="0" w:color="auto"/>
        <w:right w:val="none" w:sz="0" w:space="0" w:color="auto"/>
      </w:divBdr>
    </w:div>
    <w:div w:id="568425159">
      <w:bodyDiv w:val="1"/>
      <w:marLeft w:val="0"/>
      <w:marRight w:val="0"/>
      <w:marTop w:val="0"/>
      <w:marBottom w:val="0"/>
      <w:divBdr>
        <w:top w:val="none" w:sz="0" w:space="0" w:color="auto"/>
        <w:left w:val="none" w:sz="0" w:space="0" w:color="auto"/>
        <w:bottom w:val="none" w:sz="0" w:space="0" w:color="auto"/>
        <w:right w:val="none" w:sz="0" w:space="0" w:color="auto"/>
      </w:divBdr>
    </w:div>
    <w:div w:id="619261483">
      <w:bodyDiv w:val="1"/>
      <w:marLeft w:val="0"/>
      <w:marRight w:val="0"/>
      <w:marTop w:val="0"/>
      <w:marBottom w:val="0"/>
      <w:divBdr>
        <w:top w:val="none" w:sz="0" w:space="0" w:color="auto"/>
        <w:left w:val="none" w:sz="0" w:space="0" w:color="auto"/>
        <w:bottom w:val="none" w:sz="0" w:space="0" w:color="auto"/>
        <w:right w:val="none" w:sz="0" w:space="0" w:color="auto"/>
      </w:divBdr>
    </w:div>
    <w:div w:id="794830393">
      <w:bodyDiv w:val="1"/>
      <w:marLeft w:val="0"/>
      <w:marRight w:val="0"/>
      <w:marTop w:val="0"/>
      <w:marBottom w:val="0"/>
      <w:divBdr>
        <w:top w:val="none" w:sz="0" w:space="0" w:color="auto"/>
        <w:left w:val="none" w:sz="0" w:space="0" w:color="auto"/>
        <w:bottom w:val="none" w:sz="0" w:space="0" w:color="auto"/>
        <w:right w:val="none" w:sz="0" w:space="0" w:color="auto"/>
      </w:divBdr>
    </w:div>
    <w:div w:id="968632497">
      <w:bodyDiv w:val="1"/>
      <w:marLeft w:val="0"/>
      <w:marRight w:val="0"/>
      <w:marTop w:val="0"/>
      <w:marBottom w:val="0"/>
      <w:divBdr>
        <w:top w:val="none" w:sz="0" w:space="0" w:color="auto"/>
        <w:left w:val="none" w:sz="0" w:space="0" w:color="auto"/>
        <w:bottom w:val="none" w:sz="0" w:space="0" w:color="auto"/>
        <w:right w:val="none" w:sz="0" w:space="0" w:color="auto"/>
      </w:divBdr>
    </w:div>
    <w:div w:id="978849518">
      <w:bodyDiv w:val="1"/>
      <w:marLeft w:val="0"/>
      <w:marRight w:val="0"/>
      <w:marTop w:val="0"/>
      <w:marBottom w:val="0"/>
      <w:divBdr>
        <w:top w:val="none" w:sz="0" w:space="0" w:color="auto"/>
        <w:left w:val="none" w:sz="0" w:space="0" w:color="auto"/>
        <w:bottom w:val="none" w:sz="0" w:space="0" w:color="auto"/>
        <w:right w:val="none" w:sz="0" w:space="0" w:color="auto"/>
      </w:divBdr>
    </w:div>
    <w:div w:id="981234502">
      <w:bodyDiv w:val="1"/>
      <w:marLeft w:val="0"/>
      <w:marRight w:val="0"/>
      <w:marTop w:val="0"/>
      <w:marBottom w:val="0"/>
      <w:divBdr>
        <w:top w:val="none" w:sz="0" w:space="0" w:color="auto"/>
        <w:left w:val="none" w:sz="0" w:space="0" w:color="auto"/>
        <w:bottom w:val="none" w:sz="0" w:space="0" w:color="auto"/>
        <w:right w:val="none" w:sz="0" w:space="0" w:color="auto"/>
      </w:divBdr>
    </w:div>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1075736979">
      <w:bodyDiv w:val="1"/>
      <w:marLeft w:val="0"/>
      <w:marRight w:val="0"/>
      <w:marTop w:val="0"/>
      <w:marBottom w:val="0"/>
      <w:divBdr>
        <w:top w:val="none" w:sz="0" w:space="0" w:color="auto"/>
        <w:left w:val="none" w:sz="0" w:space="0" w:color="auto"/>
        <w:bottom w:val="none" w:sz="0" w:space="0" w:color="auto"/>
        <w:right w:val="none" w:sz="0" w:space="0" w:color="auto"/>
      </w:divBdr>
      <w:divsChild>
        <w:div w:id="1928415402">
          <w:marLeft w:val="0"/>
          <w:marRight w:val="0"/>
          <w:marTop w:val="0"/>
          <w:marBottom w:val="0"/>
          <w:divBdr>
            <w:top w:val="none" w:sz="0" w:space="0" w:color="auto"/>
            <w:left w:val="none" w:sz="0" w:space="0" w:color="auto"/>
            <w:bottom w:val="none" w:sz="0" w:space="0" w:color="auto"/>
            <w:right w:val="none" w:sz="0" w:space="0" w:color="auto"/>
          </w:divBdr>
        </w:div>
      </w:divsChild>
    </w:div>
    <w:div w:id="1217428593">
      <w:bodyDiv w:val="1"/>
      <w:marLeft w:val="0"/>
      <w:marRight w:val="0"/>
      <w:marTop w:val="0"/>
      <w:marBottom w:val="0"/>
      <w:divBdr>
        <w:top w:val="none" w:sz="0" w:space="0" w:color="auto"/>
        <w:left w:val="none" w:sz="0" w:space="0" w:color="auto"/>
        <w:bottom w:val="none" w:sz="0" w:space="0" w:color="auto"/>
        <w:right w:val="none" w:sz="0" w:space="0" w:color="auto"/>
      </w:divBdr>
    </w:div>
    <w:div w:id="1440487954">
      <w:bodyDiv w:val="1"/>
      <w:marLeft w:val="0"/>
      <w:marRight w:val="0"/>
      <w:marTop w:val="0"/>
      <w:marBottom w:val="0"/>
      <w:divBdr>
        <w:top w:val="none" w:sz="0" w:space="0" w:color="auto"/>
        <w:left w:val="none" w:sz="0" w:space="0" w:color="auto"/>
        <w:bottom w:val="none" w:sz="0" w:space="0" w:color="auto"/>
        <w:right w:val="none" w:sz="0" w:space="0" w:color="auto"/>
      </w:divBdr>
    </w:div>
    <w:div w:id="1475951811">
      <w:bodyDiv w:val="1"/>
      <w:marLeft w:val="0"/>
      <w:marRight w:val="0"/>
      <w:marTop w:val="0"/>
      <w:marBottom w:val="0"/>
      <w:divBdr>
        <w:top w:val="none" w:sz="0" w:space="0" w:color="auto"/>
        <w:left w:val="none" w:sz="0" w:space="0" w:color="auto"/>
        <w:bottom w:val="none" w:sz="0" w:space="0" w:color="auto"/>
        <w:right w:val="none" w:sz="0" w:space="0" w:color="auto"/>
      </w:divBdr>
    </w:div>
    <w:div w:id="1488787386">
      <w:bodyDiv w:val="1"/>
      <w:marLeft w:val="0"/>
      <w:marRight w:val="0"/>
      <w:marTop w:val="0"/>
      <w:marBottom w:val="0"/>
      <w:divBdr>
        <w:top w:val="none" w:sz="0" w:space="0" w:color="auto"/>
        <w:left w:val="none" w:sz="0" w:space="0" w:color="auto"/>
        <w:bottom w:val="none" w:sz="0" w:space="0" w:color="auto"/>
        <w:right w:val="none" w:sz="0" w:space="0" w:color="auto"/>
      </w:divBdr>
    </w:div>
    <w:div w:id="1592615529">
      <w:bodyDiv w:val="1"/>
      <w:marLeft w:val="0"/>
      <w:marRight w:val="0"/>
      <w:marTop w:val="0"/>
      <w:marBottom w:val="0"/>
      <w:divBdr>
        <w:top w:val="none" w:sz="0" w:space="0" w:color="auto"/>
        <w:left w:val="none" w:sz="0" w:space="0" w:color="auto"/>
        <w:bottom w:val="none" w:sz="0" w:space="0" w:color="auto"/>
        <w:right w:val="none" w:sz="0" w:space="0" w:color="auto"/>
      </w:divBdr>
    </w:div>
    <w:div w:id="1656254163">
      <w:bodyDiv w:val="1"/>
      <w:marLeft w:val="0"/>
      <w:marRight w:val="0"/>
      <w:marTop w:val="0"/>
      <w:marBottom w:val="0"/>
      <w:divBdr>
        <w:top w:val="none" w:sz="0" w:space="0" w:color="auto"/>
        <w:left w:val="none" w:sz="0" w:space="0" w:color="auto"/>
        <w:bottom w:val="none" w:sz="0" w:space="0" w:color="auto"/>
        <w:right w:val="none" w:sz="0" w:space="0" w:color="auto"/>
      </w:divBdr>
    </w:div>
    <w:div w:id="1757244237">
      <w:bodyDiv w:val="1"/>
      <w:marLeft w:val="0"/>
      <w:marRight w:val="0"/>
      <w:marTop w:val="0"/>
      <w:marBottom w:val="0"/>
      <w:divBdr>
        <w:top w:val="none" w:sz="0" w:space="0" w:color="auto"/>
        <w:left w:val="none" w:sz="0" w:space="0" w:color="auto"/>
        <w:bottom w:val="none" w:sz="0" w:space="0" w:color="auto"/>
        <w:right w:val="none" w:sz="0" w:space="0" w:color="auto"/>
      </w:divBdr>
    </w:div>
    <w:div w:id="1953783028">
      <w:bodyDiv w:val="1"/>
      <w:marLeft w:val="0"/>
      <w:marRight w:val="0"/>
      <w:marTop w:val="0"/>
      <w:marBottom w:val="0"/>
      <w:divBdr>
        <w:top w:val="none" w:sz="0" w:space="0" w:color="auto"/>
        <w:left w:val="none" w:sz="0" w:space="0" w:color="auto"/>
        <w:bottom w:val="none" w:sz="0" w:space="0" w:color="auto"/>
        <w:right w:val="none" w:sz="0" w:space="0" w:color="auto"/>
      </w:divBdr>
    </w:div>
    <w:div w:id="2064210106">
      <w:bodyDiv w:val="1"/>
      <w:marLeft w:val="0"/>
      <w:marRight w:val="0"/>
      <w:marTop w:val="0"/>
      <w:marBottom w:val="0"/>
      <w:divBdr>
        <w:top w:val="none" w:sz="0" w:space="0" w:color="auto"/>
        <w:left w:val="none" w:sz="0" w:space="0" w:color="auto"/>
        <w:bottom w:val="none" w:sz="0" w:space="0" w:color="auto"/>
        <w:right w:val="none" w:sz="0" w:space="0" w:color="auto"/>
      </w:divBdr>
    </w:div>
    <w:div w:id="2067027327">
      <w:bodyDiv w:val="1"/>
      <w:marLeft w:val="0"/>
      <w:marRight w:val="0"/>
      <w:marTop w:val="0"/>
      <w:marBottom w:val="0"/>
      <w:divBdr>
        <w:top w:val="none" w:sz="0" w:space="0" w:color="auto"/>
        <w:left w:val="none" w:sz="0" w:space="0" w:color="auto"/>
        <w:bottom w:val="none" w:sz="0" w:space="0" w:color="auto"/>
        <w:right w:val="none" w:sz="0" w:space="0" w:color="auto"/>
      </w:divBdr>
    </w:div>
    <w:div w:id="213837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topics/integrated-care/sustainability-transformation-plans-explained" TargetMode="External"/><Relationship Id="rId13" Type="http://schemas.openxmlformats.org/officeDocument/2006/relationships/hyperlink" Target="https://www.england.nhs.uk/long-read/commissioning-guidance-for-post-covid-services-for-adults-children-and-young-people/" TargetMode="External"/><Relationship Id="rId18" Type="http://schemas.openxmlformats.org/officeDocument/2006/relationships/image" Target="cid:image008.png@01DBEB70.0CDB61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package" Target="embeddings/Microsoft_Word_Document.docx"/><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8.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iona.Bolstridge\AppData\Local\Temp\MicrosoftEdgeDownloads\a468f747-8da0-4646-bbfe-910ed26c6eb2\99613c67-54b4-4808-96d6-507e08b5c13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iona.Bolstridge\AppData\Local\Temp\MicrosoftEdgeDownloads\a468f747-8da0-4646-bbfe-910ed26c6eb2\99613c67-54b4-4808-96d6-507e08b5c13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nhs-my.sharepoint.com/personal/f_bolstridge_nhs_net/Documents/Post%20Covid/data/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nhs-my.sharepoint.com/personal/f_bolstridge_nhs_net/Documents/Post%20Covid/data/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nhs-my.sharepoint.com/personal/f_bolstridge_nhs_net/Documents/Post%20Covid/data/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nhs-my.sharepoint.com/personal/f_bolstridge_nhs_net/Documents/Post%20Covid/data/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nhs-my.sharepoint.com/personal/f_bolstridge_nhs_net/Documents/Post%20Covid/National%20referral%20data.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Derby</a:t>
            </a:r>
            <a:r>
              <a:rPr lang="en-GB" baseline="0"/>
              <a:t> and Derbyshire Referral Rates from Long COVID Dashboard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Sheet1!$A$1:$A$10</c:f>
              <c:numCache>
                <c:formatCode>mmm\-yy</c:formatCode>
                <c:ptCount val="10"/>
                <c:pt idx="0">
                  <c:v>45474</c:v>
                </c:pt>
                <c:pt idx="1">
                  <c:v>45505</c:v>
                </c:pt>
                <c:pt idx="2">
                  <c:v>45536</c:v>
                </c:pt>
                <c:pt idx="3">
                  <c:v>45566</c:v>
                </c:pt>
                <c:pt idx="4">
                  <c:v>45597</c:v>
                </c:pt>
                <c:pt idx="5">
                  <c:v>45627</c:v>
                </c:pt>
                <c:pt idx="6">
                  <c:v>45658</c:v>
                </c:pt>
                <c:pt idx="7">
                  <c:v>45689</c:v>
                </c:pt>
                <c:pt idx="8">
                  <c:v>45717</c:v>
                </c:pt>
                <c:pt idx="9">
                  <c:v>45748</c:v>
                </c:pt>
              </c:numCache>
            </c:numRef>
          </c:cat>
          <c:val>
            <c:numRef>
              <c:f>Sheet1!$B$1:$B$10</c:f>
              <c:numCache>
                <c:formatCode>General</c:formatCode>
                <c:ptCount val="10"/>
                <c:pt idx="0">
                  <c:v>31</c:v>
                </c:pt>
                <c:pt idx="1">
                  <c:v>31</c:v>
                </c:pt>
                <c:pt idx="2">
                  <c:v>24</c:v>
                </c:pt>
                <c:pt idx="3">
                  <c:v>28</c:v>
                </c:pt>
                <c:pt idx="4">
                  <c:v>19</c:v>
                </c:pt>
                <c:pt idx="5">
                  <c:v>30</c:v>
                </c:pt>
                <c:pt idx="6">
                  <c:v>24</c:v>
                </c:pt>
                <c:pt idx="7">
                  <c:v>14</c:v>
                </c:pt>
                <c:pt idx="8">
                  <c:v>12</c:v>
                </c:pt>
                <c:pt idx="9">
                  <c:v>12</c:v>
                </c:pt>
              </c:numCache>
            </c:numRef>
          </c:val>
          <c:smooth val="0"/>
          <c:extLst>
            <c:ext xmlns:c16="http://schemas.microsoft.com/office/drawing/2014/chart" uri="{C3380CC4-5D6E-409C-BE32-E72D297353CC}">
              <c16:uniqueId val="{00000001-0326-4ECC-9571-D274594083F6}"/>
            </c:ext>
          </c:extLst>
        </c:ser>
        <c:dLbls>
          <c:showLegendKey val="0"/>
          <c:showVal val="0"/>
          <c:showCatName val="0"/>
          <c:showSerName val="0"/>
          <c:showPercent val="0"/>
          <c:showBubbleSize val="0"/>
        </c:dLbls>
        <c:smooth val="0"/>
        <c:axId val="910459887"/>
        <c:axId val="910456047"/>
      </c:lineChart>
      <c:dateAx>
        <c:axId val="910459887"/>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456047"/>
        <c:crosses val="autoZero"/>
        <c:auto val="1"/>
        <c:lblOffset val="100"/>
        <c:baseTimeUnit val="months"/>
      </c:dateAx>
      <c:valAx>
        <c:axId val="910456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045988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Initial and</a:t>
            </a:r>
            <a:r>
              <a:rPr lang="en-GB" baseline="0"/>
              <a:t> Follow Up Assessments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0"/>
          <c:order val="0"/>
          <c:tx>
            <c:strRef>
              <c:f>Sheet1!$H$4</c:f>
              <c:strCache>
                <c:ptCount val="1"/>
                <c:pt idx="0">
                  <c:v>Initial Assessments</c:v>
                </c:pt>
              </c:strCache>
            </c:strRef>
          </c:tx>
          <c:spPr>
            <a:solidFill>
              <a:schemeClr val="accent1"/>
            </a:solidFill>
            <a:ln>
              <a:noFill/>
            </a:ln>
            <a:effectLst/>
          </c:spPr>
          <c:invertIfNegative val="0"/>
          <c:cat>
            <c:numRef>
              <c:f>Sheet1!$G$5:$G$14</c:f>
              <c:numCache>
                <c:formatCode>mmm\-yy</c:formatCode>
                <c:ptCount val="10"/>
                <c:pt idx="0">
                  <c:v>45474</c:v>
                </c:pt>
                <c:pt idx="1">
                  <c:v>45505</c:v>
                </c:pt>
                <c:pt idx="2">
                  <c:v>45536</c:v>
                </c:pt>
                <c:pt idx="3">
                  <c:v>45566</c:v>
                </c:pt>
                <c:pt idx="4">
                  <c:v>45597</c:v>
                </c:pt>
                <c:pt idx="5">
                  <c:v>45627</c:v>
                </c:pt>
                <c:pt idx="6">
                  <c:v>45658</c:v>
                </c:pt>
                <c:pt idx="7">
                  <c:v>45689</c:v>
                </c:pt>
                <c:pt idx="8">
                  <c:v>45717</c:v>
                </c:pt>
                <c:pt idx="9">
                  <c:v>45748</c:v>
                </c:pt>
              </c:numCache>
            </c:numRef>
          </c:cat>
          <c:val>
            <c:numRef>
              <c:f>Sheet1!$H$5:$H$14</c:f>
              <c:numCache>
                <c:formatCode>0</c:formatCode>
                <c:ptCount val="10"/>
                <c:pt idx="0">
                  <c:v>10</c:v>
                </c:pt>
                <c:pt idx="1">
                  <c:v>11</c:v>
                </c:pt>
                <c:pt idx="2">
                  <c:v>15</c:v>
                </c:pt>
                <c:pt idx="3">
                  <c:v>28</c:v>
                </c:pt>
                <c:pt idx="4">
                  <c:v>18</c:v>
                </c:pt>
                <c:pt idx="5">
                  <c:v>24</c:v>
                </c:pt>
                <c:pt idx="6">
                  <c:v>29</c:v>
                </c:pt>
                <c:pt idx="7">
                  <c:v>27</c:v>
                </c:pt>
                <c:pt idx="8">
                  <c:v>17</c:v>
                </c:pt>
                <c:pt idx="9">
                  <c:v>21</c:v>
                </c:pt>
              </c:numCache>
            </c:numRef>
          </c:val>
          <c:extLst>
            <c:ext xmlns:c16="http://schemas.microsoft.com/office/drawing/2014/chart" uri="{C3380CC4-5D6E-409C-BE32-E72D297353CC}">
              <c16:uniqueId val="{00000000-2658-4DEE-BDCB-29B7236E9FC7}"/>
            </c:ext>
          </c:extLst>
        </c:ser>
        <c:ser>
          <c:idx val="1"/>
          <c:order val="1"/>
          <c:tx>
            <c:strRef>
              <c:f>Sheet1!$I$4</c:f>
              <c:strCache>
                <c:ptCount val="1"/>
                <c:pt idx="0">
                  <c:v>Follow up assessments</c:v>
                </c:pt>
              </c:strCache>
            </c:strRef>
          </c:tx>
          <c:spPr>
            <a:solidFill>
              <a:schemeClr val="accent2"/>
            </a:solidFill>
            <a:ln>
              <a:noFill/>
            </a:ln>
            <a:effectLst/>
          </c:spPr>
          <c:invertIfNegative val="0"/>
          <c:cat>
            <c:numRef>
              <c:f>Sheet1!$G$5:$G$14</c:f>
              <c:numCache>
                <c:formatCode>mmm\-yy</c:formatCode>
                <c:ptCount val="10"/>
                <c:pt idx="0">
                  <c:v>45474</c:v>
                </c:pt>
                <c:pt idx="1">
                  <c:v>45505</c:v>
                </c:pt>
                <c:pt idx="2">
                  <c:v>45536</c:v>
                </c:pt>
                <c:pt idx="3">
                  <c:v>45566</c:v>
                </c:pt>
                <c:pt idx="4">
                  <c:v>45597</c:v>
                </c:pt>
                <c:pt idx="5">
                  <c:v>45627</c:v>
                </c:pt>
                <c:pt idx="6">
                  <c:v>45658</c:v>
                </c:pt>
                <c:pt idx="7">
                  <c:v>45689</c:v>
                </c:pt>
                <c:pt idx="8">
                  <c:v>45717</c:v>
                </c:pt>
                <c:pt idx="9">
                  <c:v>45748</c:v>
                </c:pt>
              </c:numCache>
            </c:numRef>
          </c:cat>
          <c:val>
            <c:numRef>
              <c:f>Sheet1!$I$5:$I$14</c:f>
              <c:numCache>
                <c:formatCode>General</c:formatCode>
                <c:ptCount val="10"/>
                <c:pt idx="0">
                  <c:v>67</c:v>
                </c:pt>
                <c:pt idx="1">
                  <c:v>69</c:v>
                </c:pt>
                <c:pt idx="2">
                  <c:v>50</c:v>
                </c:pt>
                <c:pt idx="3">
                  <c:v>37</c:v>
                </c:pt>
                <c:pt idx="4">
                  <c:v>23</c:v>
                </c:pt>
                <c:pt idx="5">
                  <c:v>26</c:v>
                </c:pt>
                <c:pt idx="6">
                  <c:v>37</c:v>
                </c:pt>
                <c:pt idx="7">
                  <c:v>35</c:v>
                </c:pt>
                <c:pt idx="8">
                  <c:v>51</c:v>
                </c:pt>
                <c:pt idx="9">
                  <c:v>38</c:v>
                </c:pt>
              </c:numCache>
            </c:numRef>
          </c:val>
          <c:extLst>
            <c:ext xmlns:c16="http://schemas.microsoft.com/office/drawing/2014/chart" uri="{C3380CC4-5D6E-409C-BE32-E72D297353CC}">
              <c16:uniqueId val="{00000001-2658-4DEE-BDCB-29B7236E9FC7}"/>
            </c:ext>
          </c:extLst>
        </c:ser>
        <c:dLbls>
          <c:showLegendKey val="0"/>
          <c:showVal val="0"/>
          <c:showCatName val="0"/>
          <c:showSerName val="0"/>
          <c:showPercent val="0"/>
          <c:showBubbleSize val="0"/>
        </c:dLbls>
        <c:gapWidth val="150"/>
        <c:overlap val="100"/>
        <c:axId val="818144288"/>
        <c:axId val="818145248"/>
      </c:barChart>
      <c:dateAx>
        <c:axId val="8181442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145248"/>
        <c:crosses val="autoZero"/>
        <c:auto val="1"/>
        <c:lblOffset val="100"/>
        <c:baseTimeUnit val="months"/>
      </c:dateAx>
      <c:valAx>
        <c:axId val="818145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814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Follow Up</a:t>
            </a:r>
            <a:r>
              <a:rPr lang="en-GB" baseline="0"/>
              <a:t> Assessments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Sheet1!$G$5:$G$14</c:f>
              <c:numCache>
                <c:formatCode>mmm\-yy</c:formatCode>
                <c:ptCount val="10"/>
                <c:pt idx="0">
                  <c:v>45474</c:v>
                </c:pt>
                <c:pt idx="1">
                  <c:v>45505</c:v>
                </c:pt>
                <c:pt idx="2">
                  <c:v>45536</c:v>
                </c:pt>
                <c:pt idx="3">
                  <c:v>45566</c:v>
                </c:pt>
                <c:pt idx="4">
                  <c:v>45597</c:v>
                </c:pt>
                <c:pt idx="5">
                  <c:v>45627</c:v>
                </c:pt>
                <c:pt idx="6">
                  <c:v>45658</c:v>
                </c:pt>
                <c:pt idx="7">
                  <c:v>45689</c:v>
                </c:pt>
                <c:pt idx="8">
                  <c:v>45717</c:v>
                </c:pt>
                <c:pt idx="9">
                  <c:v>45748</c:v>
                </c:pt>
              </c:numCache>
            </c:numRef>
          </c:cat>
          <c:val>
            <c:numRef>
              <c:f>Sheet1!$I$5:$I$14</c:f>
              <c:numCache>
                <c:formatCode>General</c:formatCode>
                <c:ptCount val="10"/>
                <c:pt idx="0">
                  <c:v>67</c:v>
                </c:pt>
                <c:pt idx="1">
                  <c:v>69</c:v>
                </c:pt>
                <c:pt idx="2">
                  <c:v>50</c:v>
                </c:pt>
                <c:pt idx="3">
                  <c:v>37</c:v>
                </c:pt>
                <c:pt idx="4">
                  <c:v>23</c:v>
                </c:pt>
                <c:pt idx="5">
                  <c:v>26</c:v>
                </c:pt>
                <c:pt idx="6">
                  <c:v>37</c:v>
                </c:pt>
                <c:pt idx="7">
                  <c:v>35</c:v>
                </c:pt>
                <c:pt idx="8">
                  <c:v>51</c:v>
                </c:pt>
                <c:pt idx="9">
                  <c:v>38</c:v>
                </c:pt>
              </c:numCache>
            </c:numRef>
          </c:val>
          <c:smooth val="0"/>
          <c:extLst>
            <c:ext xmlns:c16="http://schemas.microsoft.com/office/drawing/2014/chart" uri="{C3380CC4-5D6E-409C-BE32-E72D297353CC}">
              <c16:uniqueId val="{00000001-BCE6-416B-88D7-AEC0B9B637B3}"/>
            </c:ext>
          </c:extLst>
        </c:ser>
        <c:dLbls>
          <c:showLegendKey val="0"/>
          <c:showVal val="0"/>
          <c:showCatName val="0"/>
          <c:showSerName val="0"/>
          <c:showPercent val="0"/>
          <c:showBubbleSize val="0"/>
        </c:dLbls>
        <c:smooth val="0"/>
        <c:axId val="1168909936"/>
        <c:axId val="1168910416"/>
      </c:lineChart>
      <c:dateAx>
        <c:axId val="116890993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910416"/>
        <c:crosses val="autoZero"/>
        <c:auto val="1"/>
        <c:lblOffset val="100"/>
        <c:baseTimeUnit val="months"/>
      </c:dateAx>
      <c:valAx>
        <c:axId val="1168910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890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13-404C-887F-46244750CC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13-404C-887F-46244750CC2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c:v>
                </c:pt>
              </c:strCache>
            </c:strRef>
          </c:cat>
          <c:val>
            <c:numRef>
              <c:f>Sheet1!$F$2:$F$3</c:f>
              <c:numCache>
                <c:formatCode>General</c:formatCode>
                <c:ptCount val="2"/>
                <c:pt idx="0">
                  <c:v>34</c:v>
                </c:pt>
                <c:pt idx="1">
                  <c:v>17</c:v>
                </c:pt>
              </c:numCache>
            </c:numRef>
          </c:val>
          <c:extLst>
            <c:ext xmlns:c16="http://schemas.microsoft.com/office/drawing/2014/chart" uri="{C3380CC4-5D6E-409C-BE32-E72D297353CC}">
              <c16:uniqueId val="{00000004-1D13-404C-887F-46244750CC2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 Range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958-449F-87B4-08A9A0068B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958-449F-87B4-08A9A0068B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958-449F-87B4-08A9A0068B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958-449F-87B4-08A9A0068B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958-449F-87B4-08A9A0068BB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958-449F-87B4-08A9A0068BB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958-449F-87B4-08A9A0068B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Sheet1!$A$7:$A$13</c:f>
              <c:strCache>
                <c:ptCount val="7"/>
                <c:pt idx="0">
                  <c:v>Under 30</c:v>
                </c:pt>
                <c:pt idx="1">
                  <c:v>30-39</c:v>
                </c:pt>
                <c:pt idx="2">
                  <c:v>40-49</c:v>
                </c:pt>
                <c:pt idx="3">
                  <c:v>50-59</c:v>
                </c:pt>
                <c:pt idx="4">
                  <c:v>60-69</c:v>
                </c:pt>
                <c:pt idx="5">
                  <c:v>70-79</c:v>
                </c:pt>
                <c:pt idx="6">
                  <c:v>80-89</c:v>
                </c:pt>
              </c:strCache>
            </c:strRef>
          </c:cat>
          <c:val>
            <c:numRef>
              <c:f>Sheet1!$F$7:$F$13</c:f>
              <c:numCache>
                <c:formatCode>General</c:formatCode>
                <c:ptCount val="7"/>
                <c:pt idx="0">
                  <c:v>3</c:v>
                </c:pt>
                <c:pt idx="1">
                  <c:v>3</c:v>
                </c:pt>
                <c:pt idx="2">
                  <c:v>9</c:v>
                </c:pt>
                <c:pt idx="3">
                  <c:v>15</c:v>
                </c:pt>
                <c:pt idx="4">
                  <c:v>10</c:v>
                </c:pt>
                <c:pt idx="5">
                  <c:v>9</c:v>
                </c:pt>
                <c:pt idx="6">
                  <c:v>2</c:v>
                </c:pt>
              </c:numCache>
            </c:numRef>
          </c:val>
          <c:extLst>
            <c:ext xmlns:c16="http://schemas.microsoft.com/office/drawing/2014/chart" uri="{C3380CC4-5D6E-409C-BE32-E72D297353CC}">
              <c16:uniqueId val="{0000000E-A958-449F-87B4-08A9A0068BB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A12-417D-9CD9-5812BB80527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A12-417D-9CD9-5812BB80527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A12-417D-9CD9-5812BB80527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A12-417D-9CD9-5812BB80527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A12-417D-9CD9-5812BB80527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A12-417D-9CD9-5812BB80527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A12-417D-9CD9-5812BB80527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Sheet1!$A$18:$A$24</c:f>
              <c:strCache>
                <c:ptCount val="7"/>
                <c:pt idx="0">
                  <c:v>Asian - other</c:v>
                </c:pt>
                <c:pt idx="1">
                  <c:v>Black - other</c:v>
                </c:pt>
                <c:pt idx="2">
                  <c:v>Other</c:v>
                </c:pt>
                <c:pt idx="3">
                  <c:v>Unknown</c:v>
                </c:pt>
                <c:pt idx="4">
                  <c:v>White - other</c:v>
                </c:pt>
                <c:pt idx="5">
                  <c:v>White - British</c:v>
                </c:pt>
                <c:pt idx="6">
                  <c:v>White - Irish</c:v>
                </c:pt>
              </c:strCache>
            </c:strRef>
          </c:cat>
          <c:val>
            <c:numRef>
              <c:f>Sheet1!$F$18:$F$24</c:f>
              <c:numCache>
                <c:formatCode>General</c:formatCode>
                <c:ptCount val="7"/>
                <c:pt idx="0">
                  <c:v>1</c:v>
                </c:pt>
                <c:pt idx="1">
                  <c:v>1</c:v>
                </c:pt>
                <c:pt idx="2">
                  <c:v>1</c:v>
                </c:pt>
                <c:pt idx="3">
                  <c:v>13</c:v>
                </c:pt>
                <c:pt idx="4">
                  <c:v>1</c:v>
                </c:pt>
                <c:pt idx="5">
                  <c:v>33</c:v>
                </c:pt>
                <c:pt idx="6">
                  <c:v>1</c:v>
                </c:pt>
              </c:numCache>
            </c:numRef>
          </c:val>
          <c:extLst>
            <c:ext xmlns:c16="http://schemas.microsoft.com/office/drawing/2014/chart" uri="{C3380CC4-5D6E-409C-BE32-E72D297353CC}">
              <c16:uniqueId val="{0000000E-AA12-417D-9CD9-5812BB80527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Deprivation</a:t>
            </a:r>
            <a:r>
              <a:rPr lang="en-GB" baseline="0"/>
              <a:t> Deciles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9B-400E-A46A-6728DEF1AB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9B-400E-A46A-6728DEF1AB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9B-400E-A46A-6728DEF1AB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D9B-400E-A46A-6728DEF1AB8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D9B-400E-A46A-6728DEF1AB8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Sheet1!$A$29:$A$33</c:f>
              <c:strCache>
                <c:ptCount val="5"/>
                <c:pt idx="0">
                  <c:v>1 and 2</c:v>
                </c:pt>
                <c:pt idx="1">
                  <c:v>3 and 4</c:v>
                </c:pt>
                <c:pt idx="2">
                  <c:v>5 and 6</c:v>
                </c:pt>
                <c:pt idx="3">
                  <c:v>7 and 8</c:v>
                </c:pt>
                <c:pt idx="4">
                  <c:v>9 and 10</c:v>
                </c:pt>
              </c:strCache>
            </c:strRef>
          </c:cat>
          <c:val>
            <c:numRef>
              <c:f>Sheet1!$F$29:$F$33</c:f>
              <c:numCache>
                <c:formatCode>General</c:formatCode>
                <c:ptCount val="5"/>
                <c:pt idx="0">
                  <c:v>11</c:v>
                </c:pt>
                <c:pt idx="1">
                  <c:v>5</c:v>
                </c:pt>
                <c:pt idx="2">
                  <c:v>14</c:v>
                </c:pt>
                <c:pt idx="3">
                  <c:v>13</c:v>
                </c:pt>
                <c:pt idx="4">
                  <c:v>8</c:v>
                </c:pt>
              </c:numCache>
            </c:numRef>
          </c:val>
          <c:extLst>
            <c:ext xmlns:c16="http://schemas.microsoft.com/office/drawing/2014/chart" uri="{C3380CC4-5D6E-409C-BE32-E72D297353CC}">
              <c16:uniqueId val="{0000000A-6D9B-400E-A46A-6728DEF1AB88}"/>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Accepted</a:t>
            </a:r>
            <a:r>
              <a:rPr lang="en-GB" baseline="0"/>
              <a:t> Post (Long) COVID clinic referrals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Sheet1!$B$1</c:f>
              <c:strCache>
                <c:ptCount val="1"/>
                <c:pt idx="0">
                  <c:v>England Accepted Referrals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cat>
            <c:numRef>
              <c:f>Sheet1!$A$2:$A$33</c:f>
              <c:numCache>
                <c:formatCode>mmm\-yy</c:formatCode>
                <c:ptCount val="32"/>
                <c:pt idx="0">
                  <c:v>44378</c:v>
                </c:pt>
                <c:pt idx="1">
                  <c:v>44409</c:v>
                </c:pt>
                <c:pt idx="2">
                  <c:v>44440</c:v>
                </c:pt>
                <c:pt idx="3">
                  <c:v>44470</c:v>
                </c:pt>
                <c:pt idx="4">
                  <c:v>44501</c:v>
                </c:pt>
                <c:pt idx="5">
                  <c:v>44531</c:v>
                </c:pt>
                <c:pt idx="6">
                  <c:v>44562</c:v>
                </c:pt>
                <c:pt idx="7">
                  <c:v>44593</c:v>
                </c:pt>
                <c:pt idx="8">
                  <c:v>44621</c:v>
                </c:pt>
                <c:pt idx="9">
                  <c:v>44652</c:v>
                </c:pt>
                <c:pt idx="10">
                  <c:v>44682</c:v>
                </c:pt>
                <c:pt idx="11">
                  <c:v>44713</c:v>
                </c:pt>
                <c:pt idx="12">
                  <c:v>44743</c:v>
                </c:pt>
                <c:pt idx="13">
                  <c:v>44774</c:v>
                </c:pt>
                <c:pt idx="14">
                  <c:v>44805</c:v>
                </c:pt>
                <c:pt idx="15">
                  <c:v>44835</c:v>
                </c:pt>
                <c:pt idx="16">
                  <c:v>44866</c:v>
                </c:pt>
                <c:pt idx="17">
                  <c:v>44896</c:v>
                </c:pt>
                <c:pt idx="18">
                  <c:v>44927</c:v>
                </c:pt>
                <c:pt idx="19">
                  <c:v>44958</c:v>
                </c:pt>
                <c:pt idx="20">
                  <c:v>44986</c:v>
                </c:pt>
                <c:pt idx="21">
                  <c:v>45017</c:v>
                </c:pt>
                <c:pt idx="22">
                  <c:v>45047</c:v>
                </c:pt>
                <c:pt idx="23">
                  <c:v>45078</c:v>
                </c:pt>
                <c:pt idx="24">
                  <c:v>45108</c:v>
                </c:pt>
                <c:pt idx="25">
                  <c:v>45139</c:v>
                </c:pt>
                <c:pt idx="26">
                  <c:v>45170</c:v>
                </c:pt>
                <c:pt idx="27">
                  <c:v>45200</c:v>
                </c:pt>
                <c:pt idx="28">
                  <c:v>45231</c:v>
                </c:pt>
                <c:pt idx="29">
                  <c:v>45261</c:v>
                </c:pt>
                <c:pt idx="30">
                  <c:v>45292</c:v>
                </c:pt>
                <c:pt idx="31">
                  <c:v>45323</c:v>
                </c:pt>
              </c:numCache>
            </c:numRef>
          </c:cat>
          <c:val>
            <c:numRef>
              <c:f>Sheet1!$B$2:$B$33</c:f>
              <c:numCache>
                <c:formatCode>General</c:formatCode>
                <c:ptCount val="32"/>
                <c:pt idx="0">
                  <c:v>5029</c:v>
                </c:pt>
                <c:pt idx="1">
                  <c:v>4846</c:v>
                </c:pt>
                <c:pt idx="2">
                  <c:v>5182</c:v>
                </c:pt>
                <c:pt idx="3">
                  <c:v>4739</c:v>
                </c:pt>
                <c:pt idx="4">
                  <c:v>5209</c:v>
                </c:pt>
                <c:pt idx="5">
                  <c:v>3936</c:v>
                </c:pt>
                <c:pt idx="6">
                  <c:v>5172</c:v>
                </c:pt>
                <c:pt idx="7">
                  <c:v>4927</c:v>
                </c:pt>
                <c:pt idx="8">
                  <c:v>5173</c:v>
                </c:pt>
                <c:pt idx="9">
                  <c:v>3734</c:v>
                </c:pt>
                <c:pt idx="10">
                  <c:v>4594</c:v>
                </c:pt>
                <c:pt idx="11">
                  <c:v>4256</c:v>
                </c:pt>
                <c:pt idx="12">
                  <c:v>4648</c:v>
                </c:pt>
                <c:pt idx="13">
                  <c:v>3586</c:v>
                </c:pt>
                <c:pt idx="14">
                  <c:v>3222</c:v>
                </c:pt>
                <c:pt idx="15">
                  <c:v>3736</c:v>
                </c:pt>
                <c:pt idx="16">
                  <c:v>3449</c:v>
                </c:pt>
                <c:pt idx="17">
                  <c:v>2481</c:v>
                </c:pt>
                <c:pt idx="18">
                  <c:v>2971</c:v>
                </c:pt>
                <c:pt idx="19">
                  <c:v>2957</c:v>
                </c:pt>
                <c:pt idx="20">
                  <c:v>2741</c:v>
                </c:pt>
                <c:pt idx="21">
                  <c:v>2239</c:v>
                </c:pt>
                <c:pt idx="22">
                  <c:v>2059</c:v>
                </c:pt>
                <c:pt idx="23">
                  <c:v>2004</c:v>
                </c:pt>
                <c:pt idx="24">
                  <c:v>2072</c:v>
                </c:pt>
                <c:pt idx="25">
                  <c:v>1908</c:v>
                </c:pt>
                <c:pt idx="26">
                  <c:v>1749</c:v>
                </c:pt>
                <c:pt idx="27">
                  <c:v>1566</c:v>
                </c:pt>
                <c:pt idx="28">
                  <c:v>1655</c:v>
                </c:pt>
                <c:pt idx="29">
                  <c:v>1159</c:v>
                </c:pt>
                <c:pt idx="30">
                  <c:v>1549</c:v>
                </c:pt>
                <c:pt idx="31">
                  <c:v>1379</c:v>
                </c:pt>
              </c:numCache>
            </c:numRef>
          </c:val>
          <c:smooth val="0"/>
          <c:extLst>
            <c:ext xmlns:c16="http://schemas.microsoft.com/office/drawing/2014/chart" uri="{C3380CC4-5D6E-409C-BE32-E72D297353CC}">
              <c16:uniqueId val="{00000001-AF80-4A77-8500-0E2CE146F85A}"/>
            </c:ext>
          </c:extLst>
        </c:ser>
        <c:dLbls>
          <c:showLegendKey val="0"/>
          <c:showVal val="0"/>
          <c:showCatName val="0"/>
          <c:showSerName val="0"/>
          <c:showPercent val="0"/>
          <c:showBubbleSize val="0"/>
        </c:dLbls>
        <c:marker val="1"/>
        <c:smooth val="0"/>
        <c:axId val="307956191"/>
        <c:axId val="307956671"/>
      </c:lineChart>
      <c:lineChart>
        <c:grouping val="standard"/>
        <c:varyColors val="0"/>
        <c:ser>
          <c:idx val="1"/>
          <c:order val="1"/>
          <c:tx>
            <c:v>Midlands Accepted Referrals</c:v>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Sheet1!$A$2:$A$33</c:f>
              <c:numCache>
                <c:formatCode>mmm\-yy</c:formatCode>
                <c:ptCount val="32"/>
                <c:pt idx="0">
                  <c:v>44378</c:v>
                </c:pt>
                <c:pt idx="1">
                  <c:v>44409</c:v>
                </c:pt>
                <c:pt idx="2">
                  <c:v>44440</c:v>
                </c:pt>
                <c:pt idx="3">
                  <c:v>44470</c:v>
                </c:pt>
                <c:pt idx="4">
                  <c:v>44501</c:v>
                </c:pt>
                <c:pt idx="5">
                  <c:v>44531</c:v>
                </c:pt>
                <c:pt idx="6">
                  <c:v>44562</c:v>
                </c:pt>
                <c:pt idx="7">
                  <c:v>44593</c:v>
                </c:pt>
                <c:pt idx="8">
                  <c:v>44621</c:v>
                </c:pt>
                <c:pt idx="9">
                  <c:v>44652</c:v>
                </c:pt>
                <c:pt idx="10">
                  <c:v>44682</c:v>
                </c:pt>
                <c:pt idx="11">
                  <c:v>44713</c:v>
                </c:pt>
                <c:pt idx="12">
                  <c:v>44743</c:v>
                </c:pt>
                <c:pt idx="13">
                  <c:v>44774</c:v>
                </c:pt>
                <c:pt idx="14">
                  <c:v>44805</c:v>
                </c:pt>
                <c:pt idx="15">
                  <c:v>44835</c:v>
                </c:pt>
                <c:pt idx="16">
                  <c:v>44866</c:v>
                </c:pt>
                <c:pt idx="17">
                  <c:v>44896</c:v>
                </c:pt>
                <c:pt idx="18">
                  <c:v>44927</c:v>
                </c:pt>
                <c:pt idx="19">
                  <c:v>44958</c:v>
                </c:pt>
                <c:pt idx="20">
                  <c:v>44986</c:v>
                </c:pt>
                <c:pt idx="21">
                  <c:v>45017</c:v>
                </c:pt>
                <c:pt idx="22">
                  <c:v>45047</c:v>
                </c:pt>
                <c:pt idx="23">
                  <c:v>45078</c:v>
                </c:pt>
                <c:pt idx="24">
                  <c:v>45108</c:v>
                </c:pt>
                <c:pt idx="25">
                  <c:v>45139</c:v>
                </c:pt>
                <c:pt idx="26">
                  <c:v>45170</c:v>
                </c:pt>
                <c:pt idx="27">
                  <c:v>45200</c:v>
                </c:pt>
                <c:pt idx="28">
                  <c:v>45231</c:v>
                </c:pt>
                <c:pt idx="29">
                  <c:v>45261</c:v>
                </c:pt>
                <c:pt idx="30">
                  <c:v>45292</c:v>
                </c:pt>
                <c:pt idx="31">
                  <c:v>45323</c:v>
                </c:pt>
              </c:numCache>
            </c:numRef>
          </c:cat>
          <c:val>
            <c:numRef>
              <c:f>Sheet1!$H$2:$H$33</c:f>
              <c:numCache>
                <c:formatCode>General</c:formatCode>
                <c:ptCount val="32"/>
                <c:pt idx="0">
                  <c:v>1129</c:v>
                </c:pt>
                <c:pt idx="1">
                  <c:v>1347</c:v>
                </c:pt>
                <c:pt idx="2">
                  <c:v>1497</c:v>
                </c:pt>
                <c:pt idx="3">
                  <c:v>1251</c:v>
                </c:pt>
                <c:pt idx="4">
                  <c:v>1402</c:v>
                </c:pt>
                <c:pt idx="5">
                  <c:v>1233</c:v>
                </c:pt>
                <c:pt idx="6">
                  <c:v>1557</c:v>
                </c:pt>
                <c:pt idx="7">
                  <c:v>1393</c:v>
                </c:pt>
                <c:pt idx="8">
                  <c:v>1146</c:v>
                </c:pt>
                <c:pt idx="9">
                  <c:v>1048</c:v>
                </c:pt>
                <c:pt idx="10">
                  <c:v>1152</c:v>
                </c:pt>
                <c:pt idx="11">
                  <c:v>1058</c:v>
                </c:pt>
                <c:pt idx="12">
                  <c:v>1173</c:v>
                </c:pt>
                <c:pt idx="13">
                  <c:v>965</c:v>
                </c:pt>
                <c:pt idx="14">
                  <c:v>733</c:v>
                </c:pt>
                <c:pt idx="15">
                  <c:v>919</c:v>
                </c:pt>
                <c:pt idx="16">
                  <c:v>825</c:v>
                </c:pt>
                <c:pt idx="17">
                  <c:v>704</c:v>
                </c:pt>
                <c:pt idx="18">
                  <c:v>358</c:v>
                </c:pt>
                <c:pt idx="19">
                  <c:v>723</c:v>
                </c:pt>
                <c:pt idx="20">
                  <c:v>745</c:v>
                </c:pt>
                <c:pt idx="21">
                  <c:v>597</c:v>
                </c:pt>
                <c:pt idx="22">
                  <c:v>548</c:v>
                </c:pt>
                <c:pt idx="23">
                  <c:v>390</c:v>
                </c:pt>
                <c:pt idx="24">
                  <c:v>375</c:v>
                </c:pt>
                <c:pt idx="25">
                  <c:v>374</c:v>
                </c:pt>
                <c:pt idx="26">
                  <c:v>320</c:v>
                </c:pt>
                <c:pt idx="27">
                  <c:v>298</c:v>
                </c:pt>
                <c:pt idx="28">
                  <c:v>291</c:v>
                </c:pt>
                <c:pt idx="29">
                  <c:v>186</c:v>
                </c:pt>
                <c:pt idx="30">
                  <c:v>280</c:v>
                </c:pt>
                <c:pt idx="31">
                  <c:v>296</c:v>
                </c:pt>
              </c:numCache>
            </c:numRef>
          </c:val>
          <c:smooth val="0"/>
          <c:extLst>
            <c:ext xmlns:c16="http://schemas.microsoft.com/office/drawing/2014/chart" uri="{C3380CC4-5D6E-409C-BE32-E72D297353CC}">
              <c16:uniqueId val="{00000003-AF80-4A77-8500-0E2CE146F85A}"/>
            </c:ext>
          </c:extLst>
        </c:ser>
        <c:dLbls>
          <c:showLegendKey val="0"/>
          <c:showVal val="0"/>
          <c:showCatName val="0"/>
          <c:showSerName val="0"/>
          <c:showPercent val="0"/>
          <c:showBubbleSize val="0"/>
        </c:dLbls>
        <c:marker val="1"/>
        <c:smooth val="0"/>
        <c:axId val="1783447199"/>
        <c:axId val="1783444319"/>
      </c:lineChart>
      <c:dateAx>
        <c:axId val="307956191"/>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956671"/>
        <c:crosses val="autoZero"/>
        <c:auto val="1"/>
        <c:lblOffset val="100"/>
        <c:baseTimeUnit val="months"/>
      </c:dateAx>
      <c:valAx>
        <c:axId val="307956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7956191"/>
        <c:crosses val="autoZero"/>
        <c:crossBetween val="between"/>
      </c:valAx>
      <c:valAx>
        <c:axId val="178344431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3447199"/>
        <c:crosses val="max"/>
        <c:crossBetween val="between"/>
      </c:valAx>
      <c:dateAx>
        <c:axId val="1783447199"/>
        <c:scaling>
          <c:orientation val="minMax"/>
        </c:scaling>
        <c:delete val="1"/>
        <c:axPos val="b"/>
        <c:numFmt formatCode="mmm\-yy" sourceLinked="1"/>
        <c:majorTickMark val="out"/>
        <c:minorTickMark val="none"/>
        <c:tickLblPos val="nextTo"/>
        <c:crossAx val="1783444319"/>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1A60-2BC9-4BCA-BE31-CCD11AD5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5970</Words>
  <Characters>34034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Sam (NHS DERBY AND DERBYSHIRE ICB - 15M)</dc:creator>
  <cp:keywords/>
  <dc:description/>
  <cp:lastModifiedBy>STUART, Mark (NHS DERBY AND DERBYSHIRE ICB - 15M)</cp:lastModifiedBy>
  <cp:revision>2</cp:revision>
  <dcterms:created xsi:type="dcterms:W3CDTF">2025-10-16T11:01:00Z</dcterms:created>
  <dcterms:modified xsi:type="dcterms:W3CDTF">2025-10-16T11:01:00Z</dcterms:modified>
</cp:coreProperties>
</file>