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2E5D2" w14:textId="35C4D9B8" w:rsidR="00D66EDC" w:rsidRDefault="00D66EDC" w:rsidP="0061399F">
      <w:pPr>
        <w:jc w:val="center"/>
        <w:rPr>
          <w:rFonts w:ascii="Arial" w:hAnsi="Arial" w:cs="Arial"/>
          <w:b/>
          <w:bCs/>
        </w:rPr>
      </w:pPr>
    </w:p>
    <w:p w14:paraId="7E4DFD7C" w14:textId="2A878E8F" w:rsidR="00D66EDC" w:rsidRDefault="00E04193" w:rsidP="0061399F">
      <w:pPr>
        <w:jc w:val="center"/>
        <w:rPr>
          <w:rFonts w:ascii="Arial" w:hAnsi="Arial" w:cs="Arial"/>
          <w:b/>
          <w:bCs/>
          <w:sz w:val="24"/>
          <w:szCs w:val="24"/>
        </w:rPr>
      </w:pPr>
      <w:r>
        <w:rPr>
          <w:rFonts w:ascii="Arial" w:hAnsi="Arial" w:cs="Arial"/>
          <w:b/>
          <w:bCs/>
          <w:sz w:val="24"/>
          <w:szCs w:val="24"/>
        </w:rPr>
        <w:t>A</w:t>
      </w:r>
      <w:r w:rsidR="008473DD" w:rsidRPr="00D66EDC">
        <w:rPr>
          <w:rFonts w:ascii="Arial" w:hAnsi="Arial" w:cs="Arial"/>
          <w:b/>
          <w:bCs/>
          <w:sz w:val="24"/>
          <w:szCs w:val="24"/>
        </w:rPr>
        <w:t xml:space="preserve">ssessing the need for Public Involvement </w:t>
      </w:r>
      <w:r w:rsidR="00755B9E" w:rsidRPr="00D66EDC">
        <w:rPr>
          <w:rFonts w:ascii="Arial" w:hAnsi="Arial" w:cs="Arial"/>
          <w:b/>
          <w:bCs/>
          <w:sz w:val="24"/>
          <w:szCs w:val="24"/>
        </w:rPr>
        <w:t>when making</w:t>
      </w:r>
      <w:r w:rsidR="0061399F">
        <w:rPr>
          <w:rFonts w:ascii="Arial" w:hAnsi="Arial" w:cs="Arial"/>
          <w:b/>
          <w:bCs/>
          <w:sz w:val="24"/>
          <w:szCs w:val="24"/>
        </w:rPr>
        <w:t xml:space="preserve"> changes in Primary Care Networks</w:t>
      </w:r>
      <w:r w:rsidR="009549C2">
        <w:rPr>
          <w:rFonts w:ascii="Arial" w:hAnsi="Arial" w:cs="Arial"/>
          <w:b/>
          <w:bCs/>
          <w:sz w:val="24"/>
          <w:szCs w:val="24"/>
        </w:rPr>
        <w:t xml:space="preserve"> </w:t>
      </w:r>
      <w:r w:rsidR="0061399F">
        <w:rPr>
          <w:rFonts w:ascii="Arial" w:hAnsi="Arial" w:cs="Arial"/>
          <w:b/>
          <w:bCs/>
          <w:sz w:val="24"/>
          <w:szCs w:val="24"/>
        </w:rPr>
        <w:t xml:space="preserve">(PCNs) and </w:t>
      </w:r>
      <w:r w:rsidR="0061399F" w:rsidRPr="00D66EDC">
        <w:rPr>
          <w:rFonts w:ascii="Arial" w:hAnsi="Arial" w:cs="Arial"/>
          <w:b/>
          <w:bCs/>
          <w:sz w:val="24"/>
          <w:szCs w:val="24"/>
        </w:rPr>
        <w:t>contractual</w:t>
      </w:r>
      <w:r w:rsidR="007D636A" w:rsidRPr="00D66EDC">
        <w:rPr>
          <w:rFonts w:ascii="Arial" w:hAnsi="Arial" w:cs="Arial"/>
          <w:b/>
          <w:bCs/>
          <w:sz w:val="24"/>
          <w:szCs w:val="24"/>
        </w:rPr>
        <w:t xml:space="preserve"> </w:t>
      </w:r>
      <w:r w:rsidR="00755B9E" w:rsidRPr="00D66EDC">
        <w:rPr>
          <w:rFonts w:ascii="Arial" w:hAnsi="Arial" w:cs="Arial"/>
          <w:b/>
          <w:bCs/>
          <w:sz w:val="24"/>
          <w:szCs w:val="24"/>
        </w:rPr>
        <w:t xml:space="preserve">changes in </w:t>
      </w:r>
      <w:r w:rsidR="00D12EC6" w:rsidRPr="00D66EDC">
        <w:rPr>
          <w:rFonts w:ascii="Arial" w:hAnsi="Arial" w:cs="Arial"/>
          <w:b/>
          <w:bCs/>
          <w:sz w:val="24"/>
          <w:szCs w:val="24"/>
        </w:rPr>
        <w:t>General</w:t>
      </w:r>
      <w:r w:rsidR="0061399F">
        <w:rPr>
          <w:rFonts w:ascii="Arial" w:hAnsi="Arial" w:cs="Arial"/>
          <w:b/>
          <w:bCs/>
          <w:sz w:val="24"/>
          <w:szCs w:val="24"/>
        </w:rPr>
        <w:t xml:space="preserve"> Practice </w:t>
      </w:r>
    </w:p>
    <w:p w14:paraId="170233A9" w14:textId="195202F0" w:rsidR="007D636A" w:rsidRPr="00D066FB" w:rsidRDefault="007D636A" w:rsidP="00CF31F6">
      <w:pPr>
        <w:rPr>
          <w:rFonts w:ascii="Arial" w:hAnsi="Arial" w:cs="Arial"/>
          <w:b/>
          <w:bCs/>
          <w:color w:val="202A30"/>
        </w:rPr>
      </w:pPr>
      <w:r w:rsidRPr="00D066FB">
        <w:rPr>
          <w:rFonts w:ascii="Arial" w:hAnsi="Arial" w:cs="Arial"/>
          <w:b/>
          <w:bCs/>
          <w:color w:val="202A30"/>
        </w:rPr>
        <w:t xml:space="preserve">Background </w:t>
      </w:r>
    </w:p>
    <w:p w14:paraId="4A849F8E" w14:textId="62F6097F" w:rsidR="007D636A" w:rsidRPr="000B5367" w:rsidRDefault="007D636A" w:rsidP="00CF31F6">
      <w:pPr>
        <w:rPr>
          <w:rFonts w:ascii="Arial" w:hAnsi="Arial" w:cs="Arial"/>
          <w:color w:val="202A30"/>
        </w:rPr>
      </w:pPr>
      <w:r w:rsidRPr="000B5367">
        <w:rPr>
          <w:rFonts w:ascii="Arial" w:hAnsi="Arial" w:cs="Arial"/>
          <w:color w:val="202A30"/>
        </w:rPr>
        <w:t>Th</w:t>
      </w:r>
      <w:r w:rsidR="00DA74D2" w:rsidRPr="000B5367">
        <w:rPr>
          <w:rFonts w:ascii="Arial" w:hAnsi="Arial" w:cs="Arial"/>
          <w:color w:val="202A30"/>
        </w:rPr>
        <w:t xml:space="preserve">is </w:t>
      </w:r>
      <w:r w:rsidR="00F578CE" w:rsidRPr="000B5367">
        <w:rPr>
          <w:rFonts w:ascii="Arial" w:hAnsi="Arial" w:cs="Arial"/>
          <w:color w:val="202A30"/>
        </w:rPr>
        <w:t xml:space="preserve">guidance </w:t>
      </w:r>
      <w:r w:rsidR="00DA74D2" w:rsidRPr="000B5367">
        <w:rPr>
          <w:rFonts w:ascii="Arial" w:hAnsi="Arial" w:cs="Arial"/>
          <w:color w:val="202A30"/>
        </w:rPr>
        <w:t xml:space="preserve">is </w:t>
      </w:r>
      <w:r w:rsidR="00F578CE" w:rsidRPr="000B5367">
        <w:rPr>
          <w:rFonts w:ascii="Arial" w:hAnsi="Arial" w:cs="Arial"/>
          <w:color w:val="202A30"/>
        </w:rPr>
        <w:t xml:space="preserve">to </w:t>
      </w:r>
      <w:r w:rsidR="00DA74D2" w:rsidRPr="000B5367">
        <w:rPr>
          <w:rFonts w:ascii="Arial" w:hAnsi="Arial" w:cs="Arial"/>
          <w:color w:val="202A30"/>
        </w:rPr>
        <w:t xml:space="preserve">summarise </w:t>
      </w:r>
      <w:r w:rsidR="00F578CE" w:rsidRPr="000B5367">
        <w:rPr>
          <w:rFonts w:ascii="Arial" w:hAnsi="Arial" w:cs="Arial"/>
          <w:color w:val="202A30"/>
        </w:rPr>
        <w:t xml:space="preserve">the </w:t>
      </w:r>
      <w:r w:rsidR="00DA74D2" w:rsidRPr="000B5367">
        <w:rPr>
          <w:rFonts w:ascii="Arial" w:hAnsi="Arial" w:cs="Arial"/>
          <w:color w:val="202A30"/>
        </w:rPr>
        <w:t xml:space="preserve">work </w:t>
      </w:r>
      <w:r w:rsidR="00152D3A" w:rsidRPr="000B5367">
        <w:rPr>
          <w:rFonts w:ascii="Arial" w:hAnsi="Arial" w:cs="Arial"/>
          <w:color w:val="202A30"/>
        </w:rPr>
        <w:t xml:space="preserve">that has taken place with the Primary Care Team to establish a process for </w:t>
      </w:r>
      <w:r w:rsidR="00CC4865" w:rsidRPr="000B5367">
        <w:rPr>
          <w:rFonts w:ascii="Arial" w:hAnsi="Arial" w:cs="Arial"/>
          <w:color w:val="202A30"/>
        </w:rPr>
        <w:t xml:space="preserve">applying the </w:t>
      </w:r>
      <w:r w:rsidRPr="000B5367">
        <w:rPr>
          <w:rFonts w:ascii="Arial" w:hAnsi="Arial" w:cs="Arial"/>
          <w:color w:val="202A30"/>
        </w:rPr>
        <w:t>Patient and Public Involvement (PPI) Legal dut</w:t>
      </w:r>
      <w:r w:rsidR="00C471F9" w:rsidRPr="000B5367">
        <w:rPr>
          <w:rFonts w:ascii="Arial" w:hAnsi="Arial" w:cs="Arial"/>
          <w:color w:val="202A30"/>
        </w:rPr>
        <w:t>y in G</w:t>
      </w:r>
      <w:r w:rsidRPr="000B5367">
        <w:rPr>
          <w:rFonts w:ascii="Arial" w:hAnsi="Arial" w:cs="Arial"/>
          <w:color w:val="202A30"/>
        </w:rPr>
        <w:t xml:space="preserve">eneral Practice. </w:t>
      </w:r>
    </w:p>
    <w:p w14:paraId="3B7E4CDA" w14:textId="1F6428A3" w:rsidR="008473DD" w:rsidRPr="000B5367" w:rsidRDefault="008473DD" w:rsidP="00CF31F6">
      <w:pPr>
        <w:rPr>
          <w:rFonts w:ascii="Arial" w:hAnsi="Arial" w:cs="Arial"/>
          <w:b/>
          <w:bCs/>
        </w:rPr>
      </w:pPr>
      <w:r w:rsidRPr="000B5367">
        <w:rPr>
          <w:rFonts w:ascii="Arial" w:hAnsi="Arial" w:cs="Arial"/>
          <w:b/>
          <w:bCs/>
        </w:rPr>
        <w:t xml:space="preserve">The </w:t>
      </w:r>
      <w:r w:rsidR="008D484B" w:rsidRPr="000B5367">
        <w:rPr>
          <w:rFonts w:ascii="Arial" w:hAnsi="Arial" w:cs="Arial"/>
          <w:b/>
          <w:bCs/>
        </w:rPr>
        <w:t xml:space="preserve">Public Involvement </w:t>
      </w:r>
      <w:r w:rsidRPr="000B5367">
        <w:rPr>
          <w:rFonts w:ascii="Arial" w:hAnsi="Arial" w:cs="Arial"/>
          <w:b/>
          <w:bCs/>
        </w:rPr>
        <w:t>Legal Duty</w:t>
      </w:r>
    </w:p>
    <w:p w14:paraId="3705F6D2" w14:textId="22082AA5" w:rsidR="00B70C9F" w:rsidRPr="000B5367" w:rsidRDefault="00CC6DF5" w:rsidP="00CF31F6">
      <w:pPr>
        <w:rPr>
          <w:rFonts w:ascii="Arial" w:hAnsi="Arial" w:cs="Arial"/>
          <w:color w:val="202A30"/>
        </w:rPr>
      </w:pPr>
      <w:r w:rsidRPr="000B5367">
        <w:rPr>
          <w:rFonts w:ascii="Arial" w:hAnsi="Arial" w:cs="Arial"/>
        </w:rPr>
        <w:t xml:space="preserve">The </w:t>
      </w:r>
      <w:r w:rsidR="00BA630F" w:rsidRPr="000B5367">
        <w:rPr>
          <w:rFonts w:ascii="Arial" w:hAnsi="Arial" w:cs="Arial"/>
        </w:rPr>
        <w:t>public involvement</w:t>
      </w:r>
      <w:r w:rsidR="003D2C47" w:rsidRPr="000B5367">
        <w:rPr>
          <w:rFonts w:ascii="Arial" w:hAnsi="Arial" w:cs="Arial"/>
        </w:rPr>
        <w:t xml:space="preserve"> duty</w:t>
      </w:r>
      <w:r w:rsidR="00BA630F" w:rsidRPr="000B5367">
        <w:rPr>
          <w:rFonts w:ascii="Arial" w:hAnsi="Arial" w:cs="Arial"/>
        </w:rPr>
        <w:t xml:space="preserve"> </w:t>
      </w:r>
      <w:r w:rsidR="00B70C9F" w:rsidRPr="000B5367">
        <w:rPr>
          <w:rFonts w:ascii="Arial" w:hAnsi="Arial" w:cs="Arial"/>
          <w:color w:val="202A30"/>
        </w:rPr>
        <w:t>set out in the National Health Services Act 2006, as amended by the Health and Care Act 2022</w:t>
      </w:r>
      <w:r w:rsidR="000F0153" w:rsidRPr="000B5367">
        <w:rPr>
          <w:rFonts w:ascii="Arial" w:hAnsi="Arial" w:cs="Arial"/>
          <w:color w:val="202A30"/>
        </w:rPr>
        <w:t>,</w:t>
      </w:r>
      <w:r w:rsidRPr="000B5367">
        <w:rPr>
          <w:rFonts w:ascii="Arial" w:hAnsi="Arial" w:cs="Arial"/>
          <w:color w:val="202A30"/>
        </w:rPr>
        <w:t xml:space="preserve"> states that</w:t>
      </w:r>
      <w:r w:rsidR="000F0153" w:rsidRPr="000B5367">
        <w:rPr>
          <w:rFonts w:ascii="Arial" w:hAnsi="Arial" w:cs="Arial"/>
          <w:color w:val="202A30"/>
        </w:rPr>
        <w:t xml:space="preserve"> </w:t>
      </w:r>
      <w:r w:rsidR="00655E30" w:rsidRPr="000B5367">
        <w:rPr>
          <w:rFonts w:ascii="Arial" w:hAnsi="Arial" w:cs="Arial"/>
          <w:color w:val="202A30"/>
        </w:rPr>
        <w:t xml:space="preserve">patients and the public must be </w:t>
      </w:r>
      <w:r w:rsidR="000F0153" w:rsidRPr="000B5367">
        <w:rPr>
          <w:rFonts w:ascii="Arial" w:hAnsi="Arial" w:cs="Arial"/>
          <w:color w:val="202A30"/>
        </w:rPr>
        <w:t xml:space="preserve">involved in: </w:t>
      </w:r>
    </w:p>
    <w:p w14:paraId="359B32F1" w14:textId="7AF0CDF0" w:rsidR="00CA286B" w:rsidRPr="000B5367" w:rsidRDefault="00CA286B" w:rsidP="00CF31F6">
      <w:pPr>
        <w:rPr>
          <w:rFonts w:ascii="Arial" w:hAnsi="Arial" w:cs="Arial"/>
        </w:rPr>
      </w:pPr>
      <w:r w:rsidRPr="000B5367">
        <w:rPr>
          <w:rFonts w:ascii="Arial" w:hAnsi="Arial" w:cs="Arial"/>
        </w:rPr>
        <w:t xml:space="preserve">(a) the planning of services </w:t>
      </w:r>
    </w:p>
    <w:p w14:paraId="3828D873" w14:textId="08134C9C" w:rsidR="00CA286B" w:rsidRPr="000B5367" w:rsidRDefault="00CA286B" w:rsidP="00CF31F6">
      <w:pPr>
        <w:rPr>
          <w:rFonts w:ascii="Arial" w:hAnsi="Arial" w:cs="Arial"/>
        </w:rPr>
      </w:pPr>
      <w:r w:rsidRPr="000B5367">
        <w:rPr>
          <w:rFonts w:ascii="Arial" w:hAnsi="Arial" w:cs="Arial"/>
        </w:rPr>
        <w:t xml:space="preserve">(b) the development and consideration of proposals for changes which, if implemented, would have an impact on the manner or range of services, and </w:t>
      </w:r>
    </w:p>
    <w:p w14:paraId="54A56D77" w14:textId="1E5A84E0" w:rsidR="00CA286B" w:rsidRPr="000B5367" w:rsidRDefault="00CA286B" w:rsidP="00CF31F6">
      <w:pPr>
        <w:rPr>
          <w:rFonts w:ascii="Arial" w:hAnsi="Arial" w:cs="Arial"/>
        </w:rPr>
      </w:pPr>
      <w:r w:rsidRPr="000B5367">
        <w:rPr>
          <w:rFonts w:ascii="Arial" w:hAnsi="Arial" w:cs="Arial"/>
        </w:rPr>
        <w:t xml:space="preserve">(c) decisions which, when implemented, would have such an </w:t>
      </w:r>
      <w:r w:rsidR="002D567C" w:rsidRPr="000B5367">
        <w:rPr>
          <w:rFonts w:ascii="Arial" w:hAnsi="Arial" w:cs="Arial"/>
        </w:rPr>
        <w:t xml:space="preserve">impact, </w:t>
      </w:r>
      <w:r w:rsidR="00EB44D4" w:rsidRPr="000B5367">
        <w:rPr>
          <w:rFonts w:ascii="Arial" w:hAnsi="Arial" w:cs="Arial"/>
        </w:rPr>
        <w:t>i.e.,</w:t>
      </w:r>
      <w:r w:rsidR="002D567C" w:rsidRPr="000B5367">
        <w:rPr>
          <w:rFonts w:ascii="Arial" w:hAnsi="Arial" w:cs="Arial"/>
        </w:rPr>
        <w:t xml:space="preserve"> decisions that </w:t>
      </w:r>
      <w:r w:rsidR="00F21DD0" w:rsidRPr="000B5367">
        <w:rPr>
          <w:rFonts w:ascii="Arial" w:hAnsi="Arial" w:cs="Arial"/>
        </w:rPr>
        <w:t>change or affect the way a service operates.</w:t>
      </w:r>
    </w:p>
    <w:p w14:paraId="34B7522A" w14:textId="77777777" w:rsidR="00BC1B13" w:rsidRPr="000B5367" w:rsidRDefault="00CC6DF5" w:rsidP="00CF31F6">
      <w:pPr>
        <w:rPr>
          <w:rFonts w:ascii="Arial" w:hAnsi="Arial" w:cs="Arial"/>
        </w:rPr>
      </w:pPr>
      <w:r w:rsidRPr="000B5367">
        <w:rPr>
          <w:rFonts w:ascii="Arial" w:hAnsi="Arial" w:cs="Arial"/>
        </w:rPr>
        <w:t>Section 242 of the NHS Act 2006 applies to NHS Trusts and NHS Foundation Trusts, and Section 14Z45 of the Health and Care Act 2022 applies to Integrated Care Boards</w:t>
      </w:r>
      <w:r w:rsidR="00142EE9" w:rsidRPr="000B5367">
        <w:rPr>
          <w:rFonts w:ascii="Arial" w:hAnsi="Arial" w:cs="Arial"/>
        </w:rPr>
        <w:t xml:space="preserve">. </w:t>
      </w:r>
    </w:p>
    <w:p w14:paraId="5414121F" w14:textId="77777777" w:rsidR="00E86CD5" w:rsidRPr="000B5367" w:rsidRDefault="00E86CD5" w:rsidP="00CF31F6">
      <w:pPr>
        <w:shd w:val="clear" w:color="auto" w:fill="FFFFFF"/>
        <w:textAlignment w:val="baseline"/>
        <w:rPr>
          <w:rFonts w:ascii="Arial" w:eastAsia="Times New Roman" w:hAnsi="Arial" w:cs="Arial"/>
          <w:color w:val="202A30"/>
          <w:lang w:eastAsia="en-GB"/>
        </w:rPr>
      </w:pPr>
      <w:r w:rsidRPr="000B5367">
        <w:rPr>
          <w:rFonts w:ascii="Arial" w:eastAsia="Times New Roman" w:hAnsi="Arial" w:cs="Arial"/>
          <w:color w:val="202A30"/>
          <w:lang w:eastAsia="en-GB"/>
        </w:rPr>
        <w:t>Whether the legal duty applies mainly comes down to whether there is:</w:t>
      </w:r>
    </w:p>
    <w:p w14:paraId="21081A90" w14:textId="77777777" w:rsidR="00E86CD5" w:rsidRPr="000B5367" w:rsidRDefault="00E86CD5" w:rsidP="00CF31F6">
      <w:pPr>
        <w:shd w:val="clear" w:color="auto" w:fill="FFFFFF"/>
        <w:textAlignment w:val="baseline"/>
        <w:rPr>
          <w:rFonts w:ascii="Arial" w:hAnsi="Arial" w:cs="Arial"/>
          <w:color w:val="202A30"/>
        </w:rPr>
      </w:pPr>
      <w:r w:rsidRPr="000B5367">
        <w:rPr>
          <w:rFonts w:ascii="Arial" w:hAnsi="Arial" w:cs="Arial"/>
          <w:b/>
          <w:bCs/>
          <w:color w:val="202A30"/>
        </w:rPr>
        <w:t>An impact on the way a service is delivered</w:t>
      </w:r>
      <w:r w:rsidRPr="000B5367">
        <w:rPr>
          <w:rFonts w:ascii="Arial" w:hAnsi="Arial" w:cs="Arial"/>
          <w:color w:val="202A30"/>
        </w:rPr>
        <w:t xml:space="preserve"> to patients, e.g., the transfer of a service from one location to another or changing from offering face to face appointments to virtual appointments. </w:t>
      </w:r>
    </w:p>
    <w:p w14:paraId="4EEFBDFC" w14:textId="77777777" w:rsidR="00E86CD5" w:rsidRPr="000B5367" w:rsidRDefault="00E86CD5" w:rsidP="00CF31F6">
      <w:pPr>
        <w:shd w:val="clear" w:color="auto" w:fill="FFFFFF"/>
        <w:textAlignment w:val="baseline"/>
        <w:rPr>
          <w:rFonts w:ascii="Arial" w:hAnsi="Arial" w:cs="Arial"/>
          <w:color w:val="202A30"/>
        </w:rPr>
      </w:pPr>
      <w:r w:rsidRPr="000B5367">
        <w:rPr>
          <w:rFonts w:ascii="Arial" w:hAnsi="Arial" w:cs="Arial"/>
          <w:b/>
          <w:bCs/>
          <w:color w:val="202A30"/>
        </w:rPr>
        <w:t>An impact on the range of services delivered</w:t>
      </w:r>
      <w:r w:rsidRPr="000B5367">
        <w:rPr>
          <w:rFonts w:ascii="Arial" w:hAnsi="Arial" w:cs="Arial"/>
          <w:color w:val="202A30"/>
        </w:rPr>
        <w:t xml:space="preserve"> to patients, e.g., the closure of a service of little clinical value to fund investment in other services.</w:t>
      </w:r>
    </w:p>
    <w:p w14:paraId="39494A08" w14:textId="5348B7A2" w:rsidR="00361DE6" w:rsidRPr="000B5367" w:rsidRDefault="00772E16" w:rsidP="00CF31F6">
      <w:pPr>
        <w:spacing w:line="256" w:lineRule="auto"/>
        <w:rPr>
          <w:rFonts w:ascii="Arial" w:hAnsi="Arial" w:cs="Arial"/>
        </w:rPr>
      </w:pPr>
      <w:r w:rsidRPr="000B5367">
        <w:rPr>
          <w:rFonts w:ascii="Arial" w:hAnsi="Arial" w:cs="Arial"/>
          <w:color w:val="202A30"/>
        </w:rPr>
        <w:t xml:space="preserve">The duty </w:t>
      </w:r>
      <w:r w:rsidR="00B1042F" w:rsidRPr="000B5367">
        <w:rPr>
          <w:rFonts w:ascii="Arial" w:hAnsi="Arial" w:cs="Arial"/>
          <w:color w:val="202A30"/>
        </w:rPr>
        <w:t xml:space="preserve">can lead to a requirement to either </w:t>
      </w:r>
      <w:r w:rsidR="00B1042F" w:rsidRPr="000B5367">
        <w:rPr>
          <w:rFonts w:ascii="Arial" w:hAnsi="Arial" w:cs="Arial"/>
          <w:b/>
          <w:bCs/>
          <w:color w:val="202A30"/>
        </w:rPr>
        <w:t>inform</w:t>
      </w:r>
      <w:r w:rsidR="00B1042F" w:rsidRPr="000B5367">
        <w:rPr>
          <w:rFonts w:ascii="Arial" w:hAnsi="Arial" w:cs="Arial"/>
          <w:color w:val="202A30"/>
        </w:rPr>
        <w:t xml:space="preserve">, </w:t>
      </w:r>
      <w:r w:rsidR="00F74E5B" w:rsidRPr="000B5367">
        <w:rPr>
          <w:rFonts w:ascii="Arial" w:hAnsi="Arial" w:cs="Arial"/>
          <w:b/>
          <w:bCs/>
          <w:color w:val="202A30"/>
        </w:rPr>
        <w:t>involve</w:t>
      </w:r>
      <w:r w:rsidR="00F74E5B" w:rsidRPr="000B5367">
        <w:rPr>
          <w:rFonts w:ascii="Arial" w:hAnsi="Arial" w:cs="Arial"/>
          <w:color w:val="202A30"/>
        </w:rPr>
        <w:t>,</w:t>
      </w:r>
      <w:r w:rsidR="00B1042F" w:rsidRPr="000B5367">
        <w:rPr>
          <w:rFonts w:ascii="Arial" w:hAnsi="Arial" w:cs="Arial"/>
          <w:color w:val="202A30"/>
        </w:rPr>
        <w:t xml:space="preserve"> or </w:t>
      </w:r>
      <w:r w:rsidR="00B1042F" w:rsidRPr="000B5367">
        <w:rPr>
          <w:rFonts w:ascii="Arial" w:hAnsi="Arial" w:cs="Arial"/>
          <w:b/>
          <w:bCs/>
          <w:color w:val="202A30"/>
        </w:rPr>
        <w:t>consult</w:t>
      </w:r>
      <w:r w:rsidR="00B1042F" w:rsidRPr="000B5367">
        <w:rPr>
          <w:rFonts w:ascii="Arial" w:hAnsi="Arial" w:cs="Arial"/>
          <w:color w:val="202A30"/>
        </w:rPr>
        <w:t xml:space="preserve"> with patients and members of the public</w:t>
      </w:r>
      <w:r w:rsidR="00361DE6" w:rsidRPr="000B5367">
        <w:rPr>
          <w:rFonts w:ascii="Arial" w:hAnsi="Arial" w:cs="Arial"/>
          <w:color w:val="202A30"/>
        </w:rPr>
        <w:t xml:space="preserve">. </w:t>
      </w:r>
      <w:r w:rsidR="00361DE6" w:rsidRPr="000B5367">
        <w:rPr>
          <w:rFonts w:ascii="Arial" w:hAnsi="Arial" w:cs="Arial"/>
        </w:rPr>
        <w:t>The bigger the change/impact the bigger the consultation/engagement needs to be. The numbers of people impacted is also an important consideration.</w:t>
      </w:r>
    </w:p>
    <w:p w14:paraId="713E2CD7" w14:textId="77E0BD1C" w:rsidR="00D106CD" w:rsidRPr="000B5367" w:rsidRDefault="00D106CD" w:rsidP="00400F58">
      <w:pPr>
        <w:spacing w:before="200" w:after="0" w:line="280" w:lineRule="atLeast"/>
        <w:rPr>
          <w:rFonts w:ascii="Arial" w:hAnsi="Arial" w:cs="Arial"/>
          <w:b/>
          <w:bCs/>
        </w:rPr>
      </w:pPr>
      <w:r w:rsidRPr="000B5367">
        <w:rPr>
          <w:rFonts w:ascii="Arial" w:hAnsi="Arial" w:cs="Arial"/>
          <w:b/>
          <w:bCs/>
        </w:rPr>
        <w:t xml:space="preserve">How </w:t>
      </w:r>
      <w:r w:rsidR="00285D54">
        <w:rPr>
          <w:rFonts w:ascii="Arial" w:hAnsi="Arial" w:cs="Arial"/>
          <w:b/>
          <w:bCs/>
        </w:rPr>
        <w:t>does this apply to</w:t>
      </w:r>
      <w:r w:rsidRPr="000B5367">
        <w:rPr>
          <w:rFonts w:ascii="Arial" w:hAnsi="Arial" w:cs="Arial"/>
          <w:b/>
          <w:bCs/>
        </w:rPr>
        <w:t xml:space="preserve"> General Practice</w:t>
      </w:r>
      <w:r w:rsidR="00285D54">
        <w:rPr>
          <w:rFonts w:ascii="Arial" w:hAnsi="Arial" w:cs="Arial"/>
          <w:b/>
          <w:bCs/>
        </w:rPr>
        <w:t>?</w:t>
      </w:r>
    </w:p>
    <w:p w14:paraId="2DC43773" w14:textId="77777777" w:rsidR="00894625" w:rsidRPr="000B5367" w:rsidRDefault="00A50D49" w:rsidP="00894625">
      <w:pPr>
        <w:spacing w:before="200" w:after="0" w:line="280" w:lineRule="atLeast"/>
        <w:rPr>
          <w:rFonts w:ascii="Arial" w:hAnsi="Arial" w:cs="Arial"/>
        </w:rPr>
      </w:pPr>
      <w:r w:rsidRPr="000B5367">
        <w:rPr>
          <w:rFonts w:ascii="Arial" w:hAnsi="Arial" w:cs="Arial"/>
        </w:rPr>
        <w:t>With regards to General Practice, the legal dut</w:t>
      </w:r>
      <w:r w:rsidR="00D106CD" w:rsidRPr="000B5367">
        <w:rPr>
          <w:rFonts w:ascii="Arial" w:hAnsi="Arial" w:cs="Arial"/>
        </w:rPr>
        <w:t>y</w:t>
      </w:r>
      <w:r w:rsidRPr="000B5367">
        <w:rPr>
          <w:rFonts w:ascii="Arial" w:hAnsi="Arial" w:cs="Arial"/>
        </w:rPr>
        <w:t xml:space="preserve"> mainly comes into </w:t>
      </w:r>
      <w:r w:rsidR="00F0664C" w:rsidRPr="000B5367">
        <w:rPr>
          <w:rFonts w:ascii="Arial" w:hAnsi="Arial" w:cs="Arial"/>
        </w:rPr>
        <w:t xml:space="preserve">play when there are contractual changes overseen by our </w:t>
      </w:r>
      <w:r w:rsidRPr="000B5367">
        <w:rPr>
          <w:rFonts w:ascii="Arial" w:hAnsi="Arial" w:cs="Arial"/>
        </w:rPr>
        <w:t xml:space="preserve">commissioning </w:t>
      </w:r>
      <w:r w:rsidR="00D106CD" w:rsidRPr="000B5367">
        <w:rPr>
          <w:rFonts w:ascii="Arial" w:hAnsi="Arial" w:cs="Arial"/>
        </w:rPr>
        <w:t>colleagues and</w:t>
      </w:r>
      <w:r w:rsidRPr="000B5367">
        <w:rPr>
          <w:rFonts w:ascii="Arial" w:hAnsi="Arial" w:cs="Arial"/>
        </w:rPr>
        <w:t xml:space="preserve"> </w:t>
      </w:r>
      <w:r w:rsidR="00F0664C" w:rsidRPr="000B5367">
        <w:rPr>
          <w:rFonts w:ascii="Arial" w:hAnsi="Arial" w:cs="Arial"/>
        </w:rPr>
        <w:t>g</w:t>
      </w:r>
      <w:r w:rsidR="00400F58" w:rsidRPr="000B5367">
        <w:rPr>
          <w:rFonts w:ascii="Arial" w:hAnsi="Arial" w:cs="Arial"/>
        </w:rPr>
        <w:t xml:space="preserve">overned by the Primary Care Subgroup. </w:t>
      </w:r>
    </w:p>
    <w:p w14:paraId="4DBFE5D0" w14:textId="2B9C7F16" w:rsidR="006C3A61" w:rsidRPr="000B5367" w:rsidRDefault="006C3A61" w:rsidP="00894625">
      <w:pPr>
        <w:spacing w:before="200" w:after="0" w:line="280" w:lineRule="atLeast"/>
        <w:rPr>
          <w:rFonts w:ascii="Arial" w:hAnsi="Arial" w:cs="Arial"/>
        </w:rPr>
      </w:pPr>
      <w:r w:rsidRPr="000B5367">
        <w:rPr>
          <w:rFonts w:ascii="Arial" w:hAnsi="Arial" w:cs="Arial"/>
        </w:rPr>
        <w:t>These contractual changes fall into the following categories:</w:t>
      </w:r>
    </w:p>
    <w:p w14:paraId="16181925" w14:textId="0E5EBAF3" w:rsidR="006C3A61" w:rsidRPr="000B5367" w:rsidRDefault="006C3A61" w:rsidP="006C3A61">
      <w:pPr>
        <w:pStyle w:val="ListParagraph"/>
        <w:numPr>
          <w:ilvl w:val="0"/>
          <w:numId w:val="20"/>
        </w:numPr>
        <w:spacing w:before="200" w:after="0" w:line="280" w:lineRule="atLeast"/>
        <w:rPr>
          <w:rFonts w:ascii="Arial" w:hAnsi="Arial" w:cs="Arial"/>
        </w:rPr>
      </w:pPr>
      <w:r w:rsidRPr="000B5367">
        <w:rPr>
          <w:rFonts w:ascii="Arial" w:hAnsi="Arial" w:cs="Arial"/>
        </w:rPr>
        <w:t xml:space="preserve">Practice boundary changes </w:t>
      </w:r>
    </w:p>
    <w:p w14:paraId="358955B7" w14:textId="64F2641B" w:rsidR="006C3A61" w:rsidRPr="000B5367" w:rsidRDefault="006C3A61" w:rsidP="006C3A61">
      <w:pPr>
        <w:pStyle w:val="ListParagraph"/>
        <w:numPr>
          <w:ilvl w:val="0"/>
          <w:numId w:val="20"/>
        </w:numPr>
        <w:spacing w:after="0" w:line="240" w:lineRule="auto"/>
        <w:contextualSpacing w:val="0"/>
        <w:rPr>
          <w:rFonts w:ascii="Arial" w:hAnsi="Arial" w:cs="Arial"/>
        </w:rPr>
      </w:pPr>
      <w:r w:rsidRPr="000B5367">
        <w:rPr>
          <w:rFonts w:ascii="Arial" w:hAnsi="Arial" w:cs="Arial"/>
        </w:rPr>
        <w:t xml:space="preserve">Mergers and Branch Closures </w:t>
      </w:r>
    </w:p>
    <w:p w14:paraId="70AA2CF0" w14:textId="55118133" w:rsidR="006C3A61" w:rsidRPr="000B5367" w:rsidRDefault="006C3A61" w:rsidP="006C3A61">
      <w:pPr>
        <w:pStyle w:val="ListParagraph"/>
        <w:numPr>
          <w:ilvl w:val="0"/>
          <w:numId w:val="20"/>
        </w:numPr>
        <w:spacing w:after="0" w:line="240" w:lineRule="auto"/>
        <w:contextualSpacing w:val="0"/>
        <w:rPr>
          <w:rFonts w:ascii="Arial" w:hAnsi="Arial" w:cs="Arial"/>
        </w:rPr>
      </w:pPr>
      <w:r w:rsidRPr="000B5367">
        <w:rPr>
          <w:rFonts w:ascii="Arial" w:hAnsi="Arial" w:cs="Arial"/>
        </w:rPr>
        <w:t xml:space="preserve">Close Lists </w:t>
      </w:r>
    </w:p>
    <w:p w14:paraId="21EE4AFF" w14:textId="2E1B285C" w:rsidR="006C3A61" w:rsidRPr="0061399F" w:rsidRDefault="006C3A61" w:rsidP="000B62C4">
      <w:pPr>
        <w:pStyle w:val="ListParagraph"/>
        <w:numPr>
          <w:ilvl w:val="0"/>
          <w:numId w:val="20"/>
        </w:numPr>
        <w:spacing w:after="0" w:line="240" w:lineRule="auto"/>
        <w:contextualSpacing w:val="0"/>
        <w:rPr>
          <w:rFonts w:ascii="Arial" w:hAnsi="Arial" w:cs="Arial"/>
          <w:b/>
          <w:bCs/>
        </w:rPr>
      </w:pPr>
      <w:r w:rsidRPr="000B5367">
        <w:rPr>
          <w:rFonts w:ascii="Arial" w:hAnsi="Arial" w:cs="Arial"/>
        </w:rPr>
        <w:t xml:space="preserve">Procurement of a GP practice </w:t>
      </w:r>
    </w:p>
    <w:p w14:paraId="5C81ADED" w14:textId="77777777" w:rsidR="0061399F" w:rsidRDefault="0061399F" w:rsidP="0061399F">
      <w:pPr>
        <w:spacing w:after="0" w:line="240" w:lineRule="auto"/>
        <w:rPr>
          <w:rFonts w:ascii="Arial" w:hAnsi="Arial" w:cs="Arial"/>
          <w:b/>
          <w:bCs/>
        </w:rPr>
      </w:pPr>
    </w:p>
    <w:p w14:paraId="38591421" w14:textId="66F6FBE8" w:rsidR="009549C2" w:rsidRPr="0061399F" w:rsidRDefault="009549C2" w:rsidP="00F7153E">
      <w:r w:rsidRPr="000B5367">
        <w:rPr>
          <w:rFonts w:ascii="Arial" w:eastAsia="Times New Roman" w:hAnsi="Arial" w:cs="Arial"/>
          <w:color w:val="202A30"/>
          <w:lang w:eastAsia="en-GB"/>
        </w:rPr>
        <w:t xml:space="preserve">In order to assess if the legal duty applies, we ask that a </w:t>
      </w:r>
      <w:hyperlink r:id="rId8" w:history="1">
        <w:r w:rsidRPr="000B5367">
          <w:rPr>
            <w:rStyle w:val="Hyperlink"/>
            <w:rFonts w:ascii="Arial" w:eastAsia="Times New Roman" w:hAnsi="Arial" w:cs="Arial"/>
            <w:lang w:eastAsia="en-GB"/>
          </w:rPr>
          <w:t>PPI Form</w:t>
        </w:r>
      </w:hyperlink>
      <w:r w:rsidRPr="000B5367">
        <w:rPr>
          <w:rFonts w:ascii="Arial" w:eastAsia="Times New Roman" w:hAnsi="Arial" w:cs="Arial"/>
          <w:color w:val="202A30"/>
          <w:lang w:eastAsia="en-GB"/>
        </w:rPr>
        <w:t xml:space="preserve"> is completed, to ensure we have the information needed to make a decision.</w:t>
      </w:r>
    </w:p>
    <w:p w14:paraId="17763CA9" w14:textId="63510876" w:rsidR="00F7153E" w:rsidRPr="000B5367" w:rsidRDefault="00F7153E" w:rsidP="00F7153E">
      <w:pPr>
        <w:rPr>
          <w:rFonts w:ascii="Arial" w:hAnsi="Arial" w:cs="Arial"/>
        </w:rPr>
      </w:pPr>
      <w:r w:rsidRPr="000B5367">
        <w:rPr>
          <w:rFonts w:ascii="Arial" w:hAnsi="Arial" w:cs="Arial"/>
          <w:b/>
          <w:bCs/>
        </w:rPr>
        <w:t>What</w:t>
      </w:r>
      <w:r w:rsidR="000B5367">
        <w:rPr>
          <w:rFonts w:ascii="Arial" w:hAnsi="Arial" w:cs="Arial"/>
          <w:b/>
          <w:bCs/>
        </w:rPr>
        <w:t xml:space="preserve"> </w:t>
      </w:r>
      <w:r w:rsidRPr="000B5367">
        <w:rPr>
          <w:rFonts w:ascii="Arial" w:hAnsi="Arial" w:cs="Arial"/>
          <w:b/>
          <w:bCs/>
        </w:rPr>
        <w:t>about temporary changes</w:t>
      </w:r>
      <w:r w:rsidR="009A24E2" w:rsidRPr="000B5367">
        <w:rPr>
          <w:rFonts w:ascii="Arial" w:hAnsi="Arial" w:cs="Arial"/>
          <w:b/>
          <w:bCs/>
        </w:rPr>
        <w:t>?</w:t>
      </w:r>
      <w:r w:rsidR="00042564" w:rsidRPr="000B5367">
        <w:rPr>
          <w:rFonts w:ascii="Arial" w:hAnsi="Arial" w:cs="Arial"/>
          <w:b/>
          <w:bCs/>
        </w:rPr>
        <w:t xml:space="preserve"> </w:t>
      </w:r>
    </w:p>
    <w:p w14:paraId="1ABDDBC0" w14:textId="284A3CFC" w:rsidR="00F7153E" w:rsidRPr="000B5367" w:rsidRDefault="009A24E2" w:rsidP="00F7153E">
      <w:pPr>
        <w:rPr>
          <w:rFonts w:ascii="Arial" w:hAnsi="Arial" w:cs="Arial"/>
        </w:rPr>
      </w:pPr>
      <w:r w:rsidRPr="000B5367">
        <w:rPr>
          <w:rFonts w:ascii="Arial" w:hAnsi="Arial" w:cs="Arial"/>
        </w:rPr>
        <w:t>Where there is a</w:t>
      </w:r>
      <w:r w:rsidR="0014513C" w:rsidRPr="000B5367">
        <w:rPr>
          <w:rFonts w:ascii="Arial" w:hAnsi="Arial" w:cs="Arial"/>
        </w:rPr>
        <w:t>n</w:t>
      </w:r>
      <w:r w:rsidRPr="000B5367">
        <w:rPr>
          <w:rFonts w:ascii="Arial" w:hAnsi="Arial" w:cs="Arial"/>
        </w:rPr>
        <w:t xml:space="preserve"> </w:t>
      </w:r>
      <w:r w:rsidR="002C73CF" w:rsidRPr="000B5367">
        <w:rPr>
          <w:rFonts w:ascii="Arial" w:hAnsi="Arial" w:cs="Arial"/>
        </w:rPr>
        <w:t>imminent risk to patient safety or the welfare of patients or staff</w:t>
      </w:r>
      <w:r w:rsidR="0014513C" w:rsidRPr="000B5367">
        <w:rPr>
          <w:rFonts w:ascii="Arial" w:hAnsi="Arial" w:cs="Arial"/>
        </w:rPr>
        <w:t>, e.g</w:t>
      </w:r>
      <w:r w:rsidR="0014513C" w:rsidRPr="000B5367">
        <w:rPr>
          <w:rFonts w:ascii="Arial" w:hAnsi="Arial" w:cs="Arial"/>
          <w:b/>
          <w:bCs/>
        </w:rPr>
        <w:t>.,</w:t>
      </w:r>
      <w:r w:rsidR="0014513C" w:rsidRPr="000B5367">
        <w:rPr>
          <w:rFonts w:ascii="Arial" w:hAnsi="Arial" w:cs="Arial"/>
        </w:rPr>
        <w:t xml:space="preserve"> the closure of a branch surgery due to</w:t>
      </w:r>
      <w:r w:rsidR="00740136">
        <w:rPr>
          <w:rFonts w:ascii="Arial" w:hAnsi="Arial" w:cs="Arial"/>
        </w:rPr>
        <w:t xml:space="preserve"> the</w:t>
      </w:r>
      <w:r w:rsidR="0014513C" w:rsidRPr="000B5367">
        <w:rPr>
          <w:rFonts w:ascii="Arial" w:hAnsi="Arial" w:cs="Arial"/>
        </w:rPr>
        <w:t xml:space="preserve"> </w:t>
      </w:r>
      <w:r w:rsidR="00740136">
        <w:rPr>
          <w:rFonts w:ascii="Arial" w:hAnsi="Arial" w:cs="Arial"/>
        </w:rPr>
        <w:t>building being damaged</w:t>
      </w:r>
      <w:r w:rsidR="0062347C">
        <w:rPr>
          <w:rFonts w:ascii="Arial" w:hAnsi="Arial" w:cs="Arial"/>
        </w:rPr>
        <w:t xml:space="preserve"> and may take many months to fix</w:t>
      </w:r>
      <w:r w:rsidR="002C73CF" w:rsidRPr="000B5367">
        <w:rPr>
          <w:rFonts w:ascii="Arial" w:hAnsi="Arial" w:cs="Arial"/>
        </w:rPr>
        <w:t xml:space="preserve">, </w:t>
      </w:r>
      <w:r w:rsidR="004B462C" w:rsidRPr="000B5367">
        <w:rPr>
          <w:rFonts w:ascii="Arial" w:hAnsi="Arial" w:cs="Arial"/>
        </w:rPr>
        <w:t>it is possible to make a change to a service without allowing</w:t>
      </w:r>
      <w:r w:rsidR="002C73CF" w:rsidRPr="000B5367">
        <w:rPr>
          <w:rFonts w:ascii="Arial" w:hAnsi="Arial" w:cs="Arial"/>
        </w:rPr>
        <w:t xml:space="preserve"> </w:t>
      </w:r>
      <w:r w:rsidR="00F7153E" w:rsidRPr="000B5367">
        <w:rPr>
          <w:rFonts w:ascii="Arial" w:hAnsi="Arial" w:cs="Arial"/>
        </w:rPr>
        <w:t xml:space="preserve">time for </w:t>
      </w:r>
      <w:r w:rsidR="00C74FC9" w:rsidRPr="000B5367">
        <w:rPr>
          <w:rFonts w:ascii="Arial" w:hAnsi="Arial" w:cs="Arial"/>
        </w:rPr>
        <w:t xml:space="preserve">patient and public involvement. </w:t>
      </w:r>
      <w:r w:rsidR="004B462C" w:rsidRPr="000B5367">
        <w:rPr>
          <w:rFonts w:ascii="Arial" w:hAnsi="Arial" w:cs="Arial"/>
        </w:rPr>
        <w:t xml:space="preserve">However, it is not </w:t>
      </w:r>
      <w:r w:rsidR="00F7153E" w:rsidRPr="000B5367">
        <w:rPr>
          <w:rFonts w:ascii="Arial" w:hAnsi="Arial" w:cs="Arial"/>
        </w:rPr>
        <w:t xml:space="preserve">acceptable for NHS bodies to delay addressing fragile service situations that might lead to such a risk occurring until they are so urgent that an imminent risk exists. </w:t>
      </w:r>
    </w:p>
    <w:p w14:paraId="793AD897" w14:textId="77777777" w:rsidR="0024162D" w:rsidRDefault="0024162D" w:rsidP="00F7153E">
      <w:pPr>
        <w:rPr>
          <w:rFonts w:ascii="Arial" w:hAnsi="Arial" w:cs="Arial"/>
        </w:rPr>
      </w:pPr>
    </w:p>
    <w:p w14:paraId="00A414AB" w14:textId="1AE25DF2" w:rsidR="00F7153E" w:rsidRPr="000B5367" w:rsidRDefault="00F7153E" w:rsidP="00F7153E">
      <w:pPr>
        <w:rPr>
          <w:rFonts w:ascii="Arial" w:hAnsi="Arial" w:cs="Arial"/>
        </w:rPr>
      </w:pPr>
      <w:r w:rsidRPr="000B5367">
        <w:rPr>
          <w:rFonts w:ascii="Arial" w:hAnsi="Arial" w:cs="Arial"/>
        </w:rPr>
        <w:t xml:space="preserve">In these cases, NHS bodies should: </w:t>
      </w:r>
    </w:p>
    <w:p w14:paraId="15606CF9" w14:textId="43581196" w:rsidR="00A25CEC" w:rsidRPr="000B5367" w:rsidRDefault="00F7153E" w:rsidP="00F7153E">
      <w:pPr>
        <w:pStyle w:val="ListParagraph"/>
        <w:numPr>
          <w:ilvl w:val="0"/>
          <w:numId w:val="20"/>
        </w:numPr>
        <w:rPr>
          <w:rFonts w:ascii="Arial" w:hAnsi="Arial" w:cs="Arial"/>
        </w:rPr>
      </w:pPr>
      <w:r w:rsidRPr="000B5367">
        <w:rPr>
          <w:rFonts w:ascii="Arial" w:hAnsi="Arial" w:cs="Arial"/>
        </w:rPr>
        <w:t>Keep good records of the factors they considered in making these decisions</w:t>
      </w:r>
    </w:p>
    <w:p w14:paraId="5EFFB7A3" w14:textId="36762D8D" w:rsidR="005E0F75" w:rsidRPr="000B5367" w:rsidRDefault="00F7153E" w:rsidP="00F7153E">
      <w:pPr>
        <w:pStyle w:val="ListParagraph"/>
        <w:numPr>
          <w:ilvl w:val="0"/>
          <w:numId w:val="20"/>
        </w:numPr>
        <w:rPr>
          <w:rFonts w:ascii="Arial" w:hAnsi="Arial" w:cs="Arial"/>
        </w:rPr>
      </w:pPr>
      <w:r w:rsidRPr="000B5367">
        <w:rPr>
          <w:rFonts w:ascii="Arial" w:hAnsi="Arial" w:cs="Arial"/>
        </w:rPr>
        <w:t>Communicate the changes to affected people</w:t>
      </w:r>
    </w:p>
    <w:p w14:paraId="2318C1E5" w14:textId="6EBE5C73" w:rsidR="00F7153E" w:rsidRPr="000B5367" w:rsidRDefault="00F7153E" w:rsidP="00F7153E">
      <w:pPr>
        <w:pStyle w:val="ListParagraph"/>
        <w:numPr>
          <w:ilvl w:val="0"/>
          <w:numId w:val="20"/>
        </w:numPr>
        <w:rPr>
          <w:rFonts w:ascii="Arial" w:hAnsi="Arial" w:cs="Arial"/>
        </w:rPr>
      </w:pPr>
      <w:r w:rsidRPr="000B5367">
        <w:rPr>
          <w:rFonts w:ascii="Arial" w:hAnsi="Arial" w:cs="Arial"/>
        </w:rPr>
        <w:t>Inform the local authority HOSC about the changes and reasons for not consulting them under the regulations</w:t>
      </w:r>
    </w:p>
    <w:p w14:paraId="064E75E8" w14:textId="17EDAD01" w:rsidR="00D370DC" w:rsidRPr="000B5367" w:rsidRDefault="000A3109" w:rsidP="00D9392C">
      <w:pPr>
        <w:rPr>
          <w:rFonts w:ascii="Arial" w:hAnsi="Arial" w:cs="Arial"/>
          <w:b/>
          <w:bCs/>
        </w:rPr>
      </w:pPr>
      <w:r>
        <w:rPr>
          <w:rFonts w:ascii="Arial" w:hAnsi="Arial" w:cs="Arial"/>
          <w:b/>
          <w:bCs/>
        </w:rPr>
        <w:t>What about the p</w:t>
      </w:r>
      <w:r w:rsidR="00D370DC" w:rsidRPr="000B5367">
        <w:rPr>
          <w:rFonts w:ascii="Arial" w:hAnsi="Arial" w:cs="Arial"/>
          <w:b/>
          <w:bCs/>
        </w:rPr>
        <w:t>rocurement of a new GP practice</w:t>
      </w:r>
      <w:r w:rsidR="00285D54">
        <w:rPr>
          <w:rFonts w:ascii="Arial" w:hAnsi="Arial" w:cs="Arial"/>
          <w:b/>
          <w:bCs/>
        </w:rPr>
        <w:t>?</w:t>
      </w:r>
      <w:r w:rsidR="00D370DC" w:rsidRPr="000B5367">
        <w:rPr>
          <w:rFonts w:ascii="Arial" w:hAnsi="Arial" w:cs="Arial"/>
          <w:b/>
          <w:bCs/>
        </w:rPr>
        <w:t xml:space="preserve"> </w:t>
      </w:r>
    </w:p>
    <w:p w14:paraId="688D0D92" w14:textId="525E22F0" w:rsidR="00D370DC" w:rsidRPr="000B5367" w:rsidRDefault="00D9392C" w:rsidP="00F60DD0">
      <w:pPr>
        <w:rPr>
          <w:rFonts w:ascii="Arial" w:hAnsi="Arial" w:cs="Arial"/>
          <w:b/>
          <w:bCs/>
        </w:rPr>
      </w:pPr>
      <w:r w:rsidRPr="000B5367">
        <w:rPr>
          <w:rFonts w:ascii="Arial" w:hAnsi="Arial" w:cs="Arial"/>
        </w:rPr>
        <w:t xml:space="preserve">The procurement of a new GP practice is not considered </w:t>
      </w:r>
      <w:r w:rsidR="003F753E" w:rsidRPr="000B5367">
        <w:rPr>
          <w:rFonts w:ascii="Arial" w:hAnsi="Arial" w:cs="Arial"/>
        </w:rPr>
        <w:t xml:space="preserve">to be a change to </w:t>
      </w:r>
      <w:proofErr w:type="gramStart"/>
      <w:r w:rsidR="00FE0C82" w:rsidRPr="000B5367">
        <w:rPr>
          <w:rFonts w:ascii="Arial" w:hAnsi="Arial" w:cs="Arial"/>
        </w:rPr>
        <w:t>services</w:t>
      </w:r>
      <w:r w:rsidR="00285D54">
        <w:rPr>
          <w:rFonts w:ascii="Arial" w:hAnsi="Arial" w:cs="Arial"/>
        </w:rPr>
        <w:t>,</w:t>
      </w:r>
      <w:r w:rsidR="00FE0C82" w:rsidRPr="000B5367">
        <w:rPr>
          <w:rFonts w:ascii="Arial" w:hAnsi="Arial" w:cs="Arial"/>
        </w:rPr>
        <w:t xml:space="preserve"> but</w:t>
      </w:r>
      <w:proofErr w:type="gramEnd"/>
      <w:r w:rsidR="003F753E" w:rsidRPr="000B5367">
        <w:rPr>
          <w:rFonts w:ascii="Arial" w:hAnsi="Arial" w:cs="Arial"/>
        </w:rPr>
        <w:t xml:space="preserve"> </w:t>
      </w:r>
      <w:r w:rsidRPr="000B5367">
        <w:rPr>
          <w:rFonts w:ascii="Arial" w:hAnsi="Arial" w:cs="Arial"/>
        </w:rPr>
        <w:t xml:space="preserve">does still trigger the legal duties under the need to involve patients and members of the public in the </w:t>
      </w:r>
      <w:r w:rsidR="00324D51" w:rsidRPr="000B5367">
        <w:rPr>
          <w:rFonts w:ascii="Arial" w:hAnsi="Arial" w:cs="Arial"/>
        </w:rPr>
        <w:t>'planning of services'</w:t>
      </w:r>
      <w:r w:rsidR="00285D54">
        <w:rPr>
          <w:rFonts w:ascii="Arial" w:hAnsi="Arial" w:cs="Arial"/>
        </w:rPr>
        <w:t xml:space="preserve">; </w:t>
      </w:r>
      <w:r w:rsidR="00324D51" w:rsidRPr="000B5367">
        <w:rPr>
          <w:rFonts w:ascii="Arial" w:hAnsi="Arial" w:cs="Arial"/>
        </w:rPr>
        <w:t>therefore</w:t>
      </w:r>
      <w:r w:rsidR="00285D54">
        <w:rPr>
          <w:rFonts w:ascii="Arial" w:hAnsi="Arial" w:cs="Arial"/>
        </w:rPr>
        <w:t>,</w:t>
      </w:r>
      <w:r w:rsidR="00324D51" w:rsidRPr="000B5367">
        <w:rPr>
          <w:rFonts w:ascii="Arial" w:hAnsi="Arial" w:cs="Arial"/>
        </w:rPr>
        <w:t xml:space="preserve"> it is still important to consider </w:t>
      </w:r>
      <w:r w:rsidR="003F753E" w:rsidRPr="000B5367">
        <w:rPr>
          <w:rFonts w:ascii="Arial" w:hAnsi="Arial" w:cs="Arial"/>
        </w:rPr>
        <w:t xml:space="preserve">how the legal duty can be met. </w:t>
      </w:r>
      <w:r w:rsidR="006D3C9C" w:rsidRPr="000B5367">
        <w:rPr>
          <w:rFonts w:ascii="Arial" w:hAnsi="Arial" w:cs="Arial"/>
        </w:rPr>
        <w:t xml:space="preserve">We have developed a process that can be adapted to meet the needs of each individual procurement process, which we know can vary. </w:t>
      </w:r>
      <w:r w:rsidR="00C83E2A" w:rsidRPr="000B5367">
        <w:rPr>
          <w:rFonts w:ascii="Arial" w:hAnsi="Arial" w:cs="Arial"/>
          <w:noProof/>
        </w:rPr>
        <w:drawing>
          <wp:inline distT="0" distB="0" distL="0" distR="0" wp14:anchorId="372B8501" wp14:editId="15FB9CE0">
            <wp:extent cx="6772275" cy="33528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79945" cy="3356597"/>
                    </a:xfrm>
                    <a:prstGeom prst="rect">
                      <a:avLst/>
                    </a:prstGeom>
                    <a:noFill/>
                    <a:ln>
                      <a:noFill/>
                    </a:ln>
                  </pic:spPr>
                </pic:pic>
              </a:graphicData>
            </a:graphic>
          </wp:inline>
        </w:drawing>
      </w:r>
    </w:p>
    <w:p w14:paraId="0BF60FCC" w14:textId="77777777" w:rsidR="00EB6B08" w:rsidRDefault="00EB6B08" w:rsidP="00EB6B08">
      <w:pPr>
        <w:rPr>
          <w:rFonts w:ascii="Arial" w:hAnsi="Arial" w:cs="Arial"/>
          <w:b/>
          <w:bCs/>
        </w:rPr>
      </w:pPr>
      <w:r>
        <w:rPr>
          <w:rFonts w:ascii="Arial" w:hAnsi="Arial" w:cs="Arial"/>
          <w:b/>
          <w:bCs/>
        </w:rPr>
        <w:t>What about changes to services agreed and implemented by Primary Care Networks?</w:t>
      </w:r>
    </w:p>
    <w:p w14:paraId="79C8C997" w14:textId="77777777" w:rsidR="00EB6B08" w:rsidRDefault="00EB6B08" w:rsidP="00EB6B08">
      <w:pPr>
        <w:rPr>
          <w:rFonts w:ascii="Arial" w:hAnsi="Arial" w:cs="Arial"/>
        </w:rPr>
      </w:pPr>
      <w:hyperlink r:id="rId10" w:history="1">
        <w:r w:rsidRPr="00A03657">
          <w:rPr>
            <w:rStyle w:val="Hyperlink"/>
            <w:rFonts w:ascii="Arial" w:hAnsi="Arial" w:cs="Arial"/>
          </w:rPr>
          <w:t>Section 5.5 in the 24/25 version of the DES specification - PCN requirements and entitlements</w:t>
        </w:r>
      </w:hyperlink>
      <w:r>
        <w:rPr>
          <w:rFonts w:ascii="Arial" w:hAnsi="Arial" w:cs="Arial"/>
        </w:rPr>
        <w:t xml:space="preserve"> states the following:</w:t>
      </w:r>
    </w:p>
    <w:p w14:paraId="26EAA6CF" w14:textId="77777777" w:rsidR="00EB6B08" w:rsidRPr="00AD1675" w:rsidRDefault="00EB6B08" w:rsidP="00EB6B08">
      <w:pPr>
        <w:rPr>
          <w:rFonts w:ascii="Arial" w:hAnsi="Arial" w:cs="Arial"/>
        </w:rPr>
      </w:pPr>
      <w:r w:rsidRPr="00AD1675">
        <w:rPr>
          <w:rFonts w:ascii="Arial" w:hAnsi="Arial" w:cs="Arial"/>
        </w:rPr>
        <w:t xml:space="preserve">5.5 Patient engagement </w:t>
      </w:r>
    </w:p>
    <w:p w14:paraId="130E1DE8" w14:textId="471CB752" w:rsidR="00EB6B08" w:rsidRDefault="00EB6B08" w:rsidP="00EB6B08">
      <w:pPr>
        <w:rPr>
          <w:rFonts w:ascii="Arial" w:hAnsi="Arial" w:cs="Arial"/>
        </w:rPr>
      </w:pPr>
      <w:r w:rsidRPr="00E04193">
        <w:rPr>
          <w:rFonts w:ascii="Arial" w:hAnsi="Arial" w:cs="Arial"/>
        </w:rPr>
        <w:t xml:space="preserve">5.5.1. A PCN must act in accordance with the requirements relating to patient engagement under the PCNs Core Network Practice’s primary medical services contracts by: </w:t>
      </w:r>
    </w:p>
    <w:p w14:paraId="1F9E046E" w14:textId="77777777" w:rsidR="00EB6B08" w:rsidRPr="00E04193" w:rsidRDefault="00EB6B08" w:rsidP="00EB6B08">
      <w:pPr>
        <w:pStyle w:val="ListParagraph"/>
        <w:numPr>
          <w:ilvl w:val="0"/>
          <w:numId w:val="32"/>
        </w:numPr>
        <w:rPr>
          <w:rFonts w:ascii="Arial" w:hAnsi="Arial" w:cs="Arial"/>
        </w:rPr>
      </w:pPr>
      <w:r>
        <w:rPr>
          <w:rFonts w:ascii="Arial" w:hAnsi="Arial" w:cs="Arial"/>
        </w:rPr>
        <w:t>E</w:t>
      </w:r>
      <w:r w:rsidRPr="00E04193">
        <w:rPr>
          <w:rFonts w:ascii="Arial" w:hAnsi="Arial" w:cs="Arial"/>
        </w:rPr>
        <w:t xml:space="preserve">ngaging, liaising and communicating with the PCN’s Patients in the most appropriate way; </w:t>
      </w:r>
    </w:p>
    <w:p w14:paraId="0C1CBDD1" w14:textId="77777777" w:rsidR="00EB6B08" w:rsidRPr="00E04193" w:rsidRDefault="00EB6B08" w:rsidP="00EB6B08">
      <w:pPr>
        <w:pStyle w:val="ListParagraph"/>
        <w:numPr>
          <w:ilvl w:val="0"/>
          <w:numId w:val="32"/>
        </w:numPr>
        <w:rPr>
          <w:rFonts w:ascii="Arial" w:hAnsi="Arial" w:cs="Arial"/>
        </w:rPr>
      </w:pPr>
      <w:r>
        <w:rPr>
          <w:rFonts w:ascii="Arial" w:hAnsi="Arial" w:cs="Arial"/>
        </w:rPr>
        <w:t>I</w:t>
      </w:r>
      <w:r w:rsidRPr="00E04193">
        <w:rPr>
          <w:rFonts w:ascii="Arial" w:hAnsi="Arial" w:cs="Arial"/>
        </w:rPr>
        <w:t xml:space="preserve">nforming and/or involving them in developing new services and changes related to service delivery; and </w:t>
      </w:r>
    </w:p>
    <w:p w14:paraId="45AAA3D6" w14:textId="77777777" w:rsidR="00EB6B08" w:rsidRPr="00E04193" w:rsidRDefault="00EB6B08" w:rsidP="00EB6B08">
      <w:pPr>
        <w:pStyle w:val="ListParagraph"/>
        <w:numPr>
          <w:ilvl w:val="0"/>
          <w:numId w:val="32"/>
        </w:numPr>
        <w:rPr>
          <w:rFonts w:ascii="Arial" w:hAnsi="Arial" w:cs="Arial"/>
        </w:rPr>
      </w:pPr>
      <w:r>
        <w:rPr>
          <w:rFonts w:ascii="Arial" w:hAnsi="Arial" w:cs="Arial"/>
        </w:rPr>
        <w:t>E</w:t>
      </w:r>
      <w:r w:rsidRPr="00E04193">
        <w:rPr>
          <w:rFonts w:ascii="Arial" w:hAnsi="Arial" w:cs="Arial"/>
        </w:rPr>
        <w:t xml:space="preserve">ngaging with a range of communities, including ‘seldom heard’ groups. </w:t>
      </w:r>
    </w:p>
    <w:p w14:paraId="3E5C2953" w14:textId="006F40FC" w:rsidR="00EB6B08" w:rsidRPr="00E04193" w:rsidRDefault="00EB6B08" w:rsidP="00EB6B08">
      <w:pPr>
        <w:rPr>
          <w:rFonts w:ascii="Arial" w:hAnsi="Arial" w:cs="Arial"/>
        </w:rPr>
      </w:pPr>
      <w:r w:rsidRPr="00E04193">
        <w:rPr>
          <w:rFonts w:ascii="Arial" w:hAnsi="Arial" w:cs="Arial"/>
        </w:rPr>
        <w:t>5.5.2. A PCN must provide reasonable support and assistance to the commissioner in the performance of its duties</w:t>
      </w:r>
      <w:r>
        <w:rPr>
          <w:rFonts w:ascii="Arial" w:hAnsi="Arial" w:cs="Arial"/>
        </w:rPr>
        <w:t xml:space="preserve"> (</w:t>
      </w:r>
      <w:r w:rsidRPr="00206CE5">
        <w:rPr>
          <w:rFonts w:ascii="Arial" w:hAnsi="Arial" w:cs="Arial"/>
        </w:rPr>
        <w:t>Sections 14Z36 and 14Z45 of the NHS Act 2006</w:t>
      </w:r>
      <w:r>
        <w:rPr>
          <w:rFonts w:ascii="Arial" w:hAnsi="Arial" w:cs="Arial"/>
        </w:rPr>
        <w:t>)</w:t>
      </w:r>
      <w:r w:rsidRPr="00E04193">
        <w:rPr>
          <w:rFonts w:ascii="Arial" w:hAnsi="Arial" w:cs="Arial"/>
        </w:rPr>
        <w:t xml:space="preserve"> to engage patients in the provision of and/or reconfiguration of services where applicable to the PCNs Patients</w:t>
      </w:r>
      <w:r>
        <w:rPr>
          <w:rFonts w:ascii="Arial" w:hAnsi="Arial" w:cs="Arial"/>
        </w:rPr>
        <w:t>.</w:t>
      </w:r>
    </w:p>
    <w:p w14:paraId="70AA3429" w14:textId="77777777" w:rsidR="00EB6B08" w:rsidRDefault="00EB6B08" w:rsidP="00EB6B08">
      <w:pPr>
        <w:rPr>
          <w:rFonts w:ascii="Arial" w:hAnsi="Arial" w:cs="Arial"/>
        </w:rPr>
      </w:pPr>
      <w:r>
        <w:rPr>
          <w:rFonts w:ascii="Arial" w:hAnsi="Arial" w:cs="Arial"/>
        </w:rPr>
        <w:t xml:space="preserve">Therefore, it is the responsibility of the membership of a PCN to ensure that this requirement has been considered and actioned in the most appropriate way. </w:t>
      </w:r>
    </w:p>
    <w:p w14:paraId="558738BE" w14:textId="77777777" w:rsidR="0062347C" w:rsidRDefault="0062347C" w:rsidP="00F22711">
      <w:pPr>
        <w:rPr>
          <w:rFonts w:ascii="Arial" w:hAnsi="Arial" w:cs="Arial"/>
          <w:sz w:val="24"/>
          <w:szCs w:val="24"/>
        </w:rPr>
      </w:pPr>
    </w:p>
    <w:p w14:paraId="62550A1F" w14:textId="77777777" w:rsidR="0062347C" w:rsidRDefault="0062347C" w:rsidP="00F22711">
      <w:pPr>
        <w:rPr>
          <w:rFonts w:ascii="Arial" w:hAnsi="Arial" w:cs="Arial"/>
          <w:sz w:val="24"/>
          <w:szCs w:val="24"/>
        </w:rPr>
      </w:pPr>
    </w:p>
    <w:p w14:paraId="33B63C3D" w14:textId="77777777" w:rsidR="0062347C" w:rsidRDefault="0062347C" w:rsidP="00F22711">
      <w:pPr>
        <w:rPr>
          <w:rFonts w:ascii="Arial" w:hAnsi="Arial" w:cs="Arial"/>
          <w:sz w:val="24"/>
          <w:szCs w:val="24"/>
        </w:rPr>
      </w:pPr>
    </w:p>
    <w:p w14:paraId="356AEECA" w14:textId="7A755932" w:rsidR="0062347C" w:rsidRDefault="00EB6B08" w:rsidP="00F22711">
      <w:pPr>
        <w:rPr>
          <w:rFonts w:ascii="Arial" w:hAnsi="Arial" w:cs="Arial"/>
          <w:b/>
          <w:bCs/>
        </w:rPr>
      </w:pPr>
      <w:r w:rsidRPr="00A03657">
        <w:rPr>
          <w:rFonts w:ascii="Arial" w:hAnsi="Arial" w:cs="Arial"/>
          <w:sz w:val="24"/>
          <w:szCs w:val="24"/>
        </w:rPr>
        <w:t xml:space="preserve">The ICB </w:t>
      </w:r>
      <w:r w:rsidRPr="00A03657">
        <w:rPr>
          <w:rFonts w:ascii="Arial" w:hAnsi="Arial" w:cs="Arial"/>
        </w:rPr>
        <w:t>Engagement Team can offer support and guidance around good practice in Patient and Public Involvement, relating to changes to the design and deliver</w:t>
      </w:r>
      <w:r>
        <w:rPr>
          <w:rFonts w:ascii="Arial" w:hAnsi="Arial" w:cs="Arial"/>
        </w:rPr>
        <w:t>y</w:t>
      </w:r>
      <w:r w:rsidRPr="00A03657">
        <w:rPr>
          <w:rFonts w:ascii="Arial" w:hAnsi="Arial" w:cs="Arial"/>
        </w:rPr>
        <w:t xml:space="preserve"> of services</w:t>
      </w:r>
      <w:r w:rsidR="0062347C">
        <w:rPr>
          <w:rFonts w:ascii="Arial" w:hAnsi="Arial" w:cs="Arial"/>
        </w:rPr>
        <w:t>.</w:t>
      </w:r>
      <w:r w:rsidR="00DB283B">
        <w:rPr>
          <w:rFonts w:ascii="Arial" w:hAnsi="Arial" w:cs="Arial"/>
        </w:rPr>
        <w:t xml:space="preserve"> </w:t>
      </w:r>
      <w:r>
        <w:rPr>
          <w:rFonts w:ascii="Arial" w:hAnsi="Arial" w:cs="Arial"/>
        </w:rPr>
        <w:t xml:space="preserve">The team can be contacted at </w:t>
      </w:r>
      <w:hyperlink r:id="rId11" w:history="1">
        <w:r w:rsidRPr="00780525">
          <w:rPr>
            <w:rStyle w:val="Hyperlink"/>
            <w:rFonts w:ascii="Arial" w:hAnsi="Arial" w:cs="Arial"/>
          </w:rPr>
          <w:t>ddicb.engagement@nhs.net</w:t>
        </w:r>
      </w:hyperlink>
      <w:r>
        <w:rPr>
          <w:rFonts w:ascii="Arial" w:hAnsi="Arial" w:cs="Arial"/>
        </w:rPr>
        <w:t xml:space="preserve">. </w:t>
      </w:r>
    </w:p>
    <w:p w14:paraId="5DDEDB6C" w14:textId="02EBDE29" w:rsidR="009549C2" w:rsidRPr="009549C2" w:rsidRDefault="0051402F" w:rsidP="00F22711">
      <w:pPr>
        <w:rPr>
          <w:rFonts w:ascii="Arial" w:hAnsi="Arial" w:cs="Arial"/>
          <w:b/>
          <w:bCs/>
        </w:rPr>
      </w:pPr>
      <w:r w:rsidRPr="000B5367">
        <w:rPr>
          <w:rFonts w:ascii="Arial" w:hAnsi="Arial" w:cs="Arial"/>
          <w:b/>
          <w:bCs/>
        </w:rPr>
        <w:t xml:space="preserve">Assessing whether the </w:t>
      </w:r>
      <w:r w:rsidR="00F60DD0" w:rsidRPr="000B5367">
        <w:rPr>
          <w:rFonts w:ascii="Arial" w:hAnsi="Arial" w:cs="Arial"/>
          <w:b/>
          <w:bCs/>
        </w:rPr>
        <w:t>legal duty applies</w:t>
      </w:r>
      <w:r w:rsidR="005E0F75" w:rsidRPr="000B5367">
        <w:rPr>
          <w:rFonts w:ascii="Arial" w:hAnsi="Arial" w:cs="Arial"/>
          <w:b/>
          <w:bCs/>
        </w:rPr>
        <w:t xml:space="preserve">/and to manage our </w:t>
      </w:r>
      <w:r w:rsidR="003A0F4A" w:rsidRPr="000B5367">
        <w:rPr>
          <w:rFonts w:ascii="Arial" w:hAnsi="Arial" w:cs="Arial"/>
          <w:b/>
          <w:bCs/>
        </w:rPr>
        <w:t>responsibilities to keep the Health Overview and Scrutiny Committee (HOSC) informed</w:t>
      </w:r>
    </w:p>
    <w:p w14:paraId="1601152C" w14:textId="63378CA2" w:rsidR="00F35ACF" w:rsidRPr="00A54380" w:rsidRDefault="00E36696" w:rsidP="0068001D">
      <w:pPr>
        <w:rPr>
          <w:rFonts w:ascii="Arial" w:hAnsi="Arial" w:cs="Arial"/>
          <w:color w:val="000000"/>
        </w:rPr>
      </w:pPr>
      <w:r w:rsidRPr="000B5367">
        <w:rPr>
          <w:rFonts w:ascii="Arial" w:eastAsia="Times New Roman" w:hAnsi="Arial" w:cs="Arial"/>
          <w:color w:val="202A30"/>
          <w:lang w:eastAsia="en-GB"/>
        </w:rPr>
        <w:t xml:space="preserve">In order to assess if the legal duty applies, we ask that </w:t>
      </w:r>
      <w:r w:rsidR="00F22711" w:rsidRPr="000B5367">
        <w:rPr>
          <w:rFonts w:ascii="Arial" w:eastAsia="Times New Roman" w:hAnsi="Arial" w:cs="Arial"/>
          <w:color w:val="202A30"/>
          <w:lang w:eastAsia="en-GB"/>
        </w:rPr>
        <w:t>a</w:t>
      </w:r>
      <w:r w:rsidRPr="000B5367">
        <w:rPr>
          <w:rFonts w:ascii="Arial" w:eastAsia="Times New Roman" w:hAnsi="Arial" w:cs="Arial"/>
          <w:color w:val="202A30"/>
          <w:lang w:eastAsia="en-GB"/>
        </w:rPr>
        <w:t xml:space="preserve"> </w:t>
      </w:r>
      <w:bookmarkStart w:id="0" w:name="_Hlk173828946"/>
      <w:r w:rsidR="002D74A9">
        <w:fldChar w:fldCharType="begin"/>
      </w:r>
      <w:r w:rsidR="002D74A9">
        <w:instrText>HYPERLINK "https://joinedupcarederbyshire.co.uk/download/patient-and-public-involvement-assessment-and-planning-form/"</w:instrText>
      </w:r>
      <w:r w:rsidR="002D74A9">
        <w:fldChar w:fldCharType="separate"/>
      </w:r>
      <w:r w:rsidR="00F60DD0" w:rsidRPr="000B5367">
        <w:rPr>
          <w:rStyle w:val="Hyperlink"/>
          <w:rFonts w:ascii="Arial" w:eastAsia="Times New Roman" w:hAnsi="Arial" w:cs="Arial"/>
          <w:lang w:eastAsia="en-GB"/>
        </w:rPr>
        <w:t>PPI Form</w:t>
      </w:r>
      <w:r w:rsidR="002D74A9">
        <w:rPr>
          <w:rStyle w:val="Hyperlink"/>
          <w:rFonts w:ascii="Arial" w:eastAsia="Times New Roman" w:hAnsi="Arial" w:cs="Arial"/>
          <w:lang w:eastAsia="en-GB"/>
        </w:rPr>
        <w:fldChar w:fldCharType="end"/>
      </w:r>
      <w:bookmarkEnd w:id="0"/>
      <w:r w:rsidR="007628A3" w:rsidRPr="000B5367">
        <w:rPr>
          <w:rFonts w:ascii="Arial" w:eastAsia="Times New Roman" w:hAnsi="Arial" w:cs="Arial"/>
          <w:color w:val="202A30"/>
          <w:lang w:eastAsia="en-GB"/>
        </w:rPr>
        <w:t xml:space="preserve"> is completed, to ensure we have the information needed to make a decision</w:t>
      </w:r>
      <w:r w:rsidR="00F60DD0" w:rsidRPr="000B5367">
        <w:rPr>
          <w:rFonts w:ascii="Arial" w:eastAsia="Times New Roman" w:hAnsi="Arial" w:cs="Arial"/>
          <w:color w:val="202A30"/>
          <w:lang w:eastAsia="en-GB"/>
        </w:rPr>
        <w:t>.</w:t>
      </w:r>
      <w:r w:rsidR="00606C08" w:rsidRPr="000B5367">
        <w:rPr>
          <w:rFonts w:ascii="Arial" w:eastAsia="Times New Roman" w:hAnsi="Arial" w:cs="Arial"/>
          <w:color w:val="202A30"/>
          <w:lang w:eastAsia="en-GB"/>
        </w:rPr>
        <w:t xml:space="preserve"> </w:t>
      </w:r>
      <w:r w:rsidR="00F22711" w:rsidRPr="000B5367">
        <w:rPr>
          <w:rFonts w:ascii="Arial" w:hAnsi="Arial" w:cs="Arial"/>
        </w:rPr>
        <w:t xml:space="preserve">The </w:t>
      </w:r>
      <w:hyperlink r:id="rId12" w:history="1">
        <w:r w:rsidR="00100943" w:rsidRPr="000B5367">
          <w:rPr>
            <w:rStyle w:val="Hyperlink"/>
            <w:rFonts w:ascii="Arial" w:eastAsia="Times New Roman" w:hAnsi="Arial" w:cs="Arial"/>
            <w:lang w:eastAsia="en-GB"/>
          </w:rPr>
          <w:t>PPI Form</w:t>
        </w:r>
      </w:hyperlink>
      <w:r w:rsidR="00F22711" w:rsidRPr="000B5367">
        <w:rPr>
          <w:rFonts w:ascii="Arial" w:hAnsi="Arial" w:cs="Arial"/>
        </w:rPr>
        <w:t xml:space="preserve"> is a tool used to record that we have fully assessed whether the legal duty to inform, involve or consult individuals to whom the services are being or may be provided, and their carers and representatives, has been considered.</w:t>
      </w:r>
      <w:r w:rsidR="00950146">
        <w:rPr>
          <w:rFonts w:ascii="Arial" w:hAnsi="Arial" w:cs="Arial"/>
        </w:rPr>
        <w:t xml:space="preserve"> This form also need</w:t>
      </w:r>
      <w:r w:rsidR="002C59A3">
        <w:rPr>
          <w:rFonts w:ascii="Arial" w:hAnsi="Arial" w:cs="Arial"/>
        </w:rPr>
        <w:t>s</w:t>
      </w:r>
      <w:r w:rsidR="00950146">
        <w:rPr>
          <w:rFonts w:ascii="Arial" w:hAnsi="Arial" w:cs="Arial"/>
        </w:rPr>
        <w:t xml:space="preserve"> to be completed when a temporary service change i</w:t>
      </w:r>
      <w:r w:rsidR="00100943">
        <w:rPr>
          <w:rFonts w:ascii="Arial" w:hAnsi="Arial" w:cs="Arial"/>
        </w:rPr>
        <w:t>s</w:t>
      </w:r>
      <w:r w:rsidR="00950146">
        <w:rPr>
          <w:rFonts w:ascii="Arial" w:hAnsi="Arial" w:cs="Arial"/>
        </w:rPr>
        <w:t xml:space="preserve"> put in place.</w:t>
      </w:r>
      <w:r w:rsidR="006C5652" w:rsidRPr="000B5367">
        <w:rPr>
          <w:rFonts w:ascii="Arial" w:hAnsi="Arial" w:cs="Arial"/>
        </w:rPr>
        <w:t xml:space="preserve"> </w:t>
      </w:r>
      <w:r w:rsidR="00926AD2" w:rsidRPr="000B5367">
        <w:rPr>
          <w:rFonts w:ascii="Arial" w:hAnsi="Arial" w:cs="Arial"/>
        </w:rPr>
        <w:t xml:space="preserve">This allows the team to support and give advice on any </w:t>
      </w:r>
      <w:r w:rsidR="001D4FCA" w:rsidRPr="000B5367">
        <w:rPr>
          <w:rFonts w:ascii="Arial" w:hAnsi="Arial" w:cs="Arial"/>
        </w:rPr>
        <w:t xml:space="preserve">immediate engagement, communications, or governance needed and monitor the length of </w:t>
      </w:r>
      <w:r w:rsidR="002C59A3">
        <w:rPr>
          <w:rFonts w:ascii="Arial" w:hAnsi="Arial" w:cs="Arial"/>
        </w:rPr>
        <w:t>any temporary change</w:t>
      </w:r>
      <w:r w:rsidR="001D4FCA" w:rsidRPr="000B5367">
        <w:rPr>
          <w:rFonts w:ascii="Arial" w:hAnsi="Arial" w:cs="Arial"/>
        </w:rPr>
        <w:t>.</w:t>
      </w:r>
      <w:r w:rsidR="00926AD2" w:rsidRPr="000B5367">
        <w:rPr>
          <w:rFonts w:ascii="Arial" w:hAnsi="Arial" w:cs="Arial"/>
        </w:rPr>
        <w:t xml:space="preserve"> Temporary changes cannot be made permanent without the appropriate level of involvement taking place. </w:t>
      </w:r>
    </w:p>
    <w:p w14:paraId="52471CEF" w14:textId="1C574999" w:rsidR="0062347C" w:rsidRDefault="00926AD2" w:rsidP="00740136">
      <w:pPr>
        <w:rPr>
          <w:rFonts w:ascii="Arial" w:hAnsi="Arial" w:cs="Arial"/>
          <w:b/>
          <w:bCs/>
        </w:rPr>
      </w:pPr>
      <w:r w:rsidRPr="000B5367">
        <w:rPr>
          <w:rFonts w:ascii="Arial" w:eastAsia="Times New Roman" w:hAnsi="Arial" w:cs="Arial"/>
          <w:color w:val="202A30"/>
          <w:lang w:eastAsia="en-GB"/>
        </w:rPr>
        <w:t xml:space="preserve">Forms </w:t>
      </w:r>
      <w:r w:rsidR="00F22711" w:rsidRPr="000B5367">
        <w:rPr>
          <w:rFonts w:ascii="Arial" w:eastAsia="Times New Roman" w:hAnsi="Arial" w:cs="Arial"/>
          <w:color w:val="202A30"/>
          <w:lang w:eastAsia="en-GB"/>
        </w:rPr>
        <w:t xml:space="preserve">should be sent to </w:t>
      </w:r>
      <w:r w:rsidR="00F22711" w:rsidRPr="000B5367">
        <w:rPr>
          <w:rFonts w:ascii="Arial" w:hAnsi="Arial" w:cs="Arial"/>
        </w:rPr>
        <w:t xml:space="preserve">the ICB Engagement Team via email: </w:t>
      </w:r>
      <w:hyperlink r:id="rId13" w:history="1">
        <w:r w:rsidR="00100943" w:rsidRPr="0051086B">
          <w:rPr>
            <w:rStyle w:val="Hyperlink"/>
            <w:rFonts w:ascii="Arial" w:hAnsi="Arial" w:cs="Arial"/>
          </w:rPr>
          <w:t>ddicb.engagement@nhs.net</w:t>
        </w:r>
      </w:hyperlink>
      <w:r w:rsidR="00F22711" w:rsidRPr="000B5367">
        <w:rPr>
          <w:rFonts w:ascii="Arial" w:hAnsi="Arial" w:cs="Arial"/>
        </w:rPr>
        <w:t xml:space="preserve">. Assistance can be provided with the completion of forms. </w:t>
      </w:r>
      <w:r w:rsidR="00740136">
        <w:rPr>
          <w:rFonts w:ascii="Arial" w:hAnsi="Arial" w:cs="Arial"/>
        </w:rPr>
        <w:t>The t</w:t>
      </w:r>
      <w:r w:rsidR="000D2CDB">
        <w:rPr>
          <w:rFonts w:ascii="Arial" w:hAnsi="Arial" w:cs="Arial"/>
        </w:rPr>
        <w:t>able</w:t>
      </w:r>
      <w:r w:rsidR="00740136">
        <w:rPr>
          <w:rFonts w:ascii="Arial" w:hAnsi="Arial" w:cs="Arial"/>
        </w:rPr>
        <w:t xml:space="preserve"> below</w:t>
      </w:r>
      <w:r w:rsidR="000D2CDB">
        <w:rPr>
          <w:rFonts w:ascii="Arial" w:hAnsi="Arial" w:cs="Arial"/>
        </w:rPr>
        <w:t xml:space="preserve"> </w:t>
      </w:r>
      <w:r w:rsidR="00740136">
        <w:rPr>
          <w:rFonts w:ascii="Arial" w:hAnsi="Arial" w:cs="Arial"/>
        </w:rPr>
        <w:t xml:space="preserve">shows a clear breakdown of where decisions are made and at what stage a </w:t>
      </w:r>
      <w:hyperlink r:id="rId14" w:history="1">
        <w:r w:rsidR="00100943" w:rsidRPr="000B5367">
          <w:rPr>
            <w:rStyle w:val="Hyperlink"/>
            <w:rFonts w:ascii="Arial" w:eastAsia="Times New Roman" w:hAnsi="Arial" w:cs="Arial"/>
            <w:lang w:eastAsia="en-GB"/>
          </w:rPr>
          <w:t>PPI Form</w:t>
        </w:r>
      </w:hyperlink>
      <w:r w:rsidR="00740136">
        <w:rPr>
          <w:rFonts w:ascii="Arial" w:hAnsi="Arial" w:cs="Arial"/>
        </w:rPr>
        <w:t xml:space="preserve"> needs to be completed. </w:t>
      </w:r>
      <w:r w:rsidR="000D2CDB">
        <w:rPr>
          <w:rFonts w:ascii="Arial" w:hAnsi="Arial" w:cs="Arial"/>
        </w:rPr>
        <w:t xml:space="preserve"> </w:t>
      </w:r>
    </w:p>
    <w:p w14:paraId="112C47E7" w14:textId="625782F0" w:rsidR="00740136" w:rsidRDefault="00740136" w:rsidP="00740136">
      <w:pPr>
        <w:rPr>
          <w:rFonts w:ascii="Arial" w:hAnsi="Arial" w:cs="Arial"/>
          <w:b/>
          <w:bCs/>
        </w:rPr>
      </w:pPr>
      <w:r w:rsidRPr="00AD1675">
        <w:rPr>
          <w:rFonts w:ascii="Arial" w:hAnsi="Arial" w:cs="Arial"/>
          <w:b/>
          <w:bCs/>
        </w:rPr>
        <w:t>Overview of when and which PPI form needs completing for Primary Care Contractual Changes</w:t>
      </w:r>
    </w:p>
    <w:tbl>
      <w:tblPr>
        <w:tblStyle w:val="TableGrid"/>
        <w:tblW w:w="10201" w:type="dxa"/>
        <w:tblLook w:val="04A0" w:firstRow="1" w:lastRow="0" w:firstColumn="1" w:lastColumn="0" w:noHBand="0" w:noVBand="1"/>
      </w:tblPr>
      <w:tblGrid>
        <w:gridCol w:w="1928"/>
        <w:gridCol w:w="3454"/>
        <w:gridCol w:w="1843"/>
        <w:gridCol w:w="2976"/>
      </w:tblGrid>
      <w:tr w:rsidR="00740136" w14:paraId="27DBCA89" w14:textId="77777777" w:rsidTr="009E74B0">
        <w:trPr>
          <w:trHeight w:val="653"/>
        </w:trPr>
        <w:tc>
          <w:tcPr>
            <w:tcW w:w="1928" w:type="dxa"/>
            <w:shd w:val="clear" w:color="auto" w:fill="D9D9D9" w:themeFill="background1" w:themeFillShade="D9"/>
          </w:tcPr>
          <w:p w14:paraId="26D87072" w14:textId="6DE80099" w:rsidR="00740136" w:rsidRPr="000B5367" w:rsidRDefault="00740136" w:rsidP="009E74B0">
            <w:pPr>
              <w:spacing w:after="160" w:line="259" w:lineRule="auto"/>
              <w:jc w:val="center"/>
              <w:rPr>
                <w:rFonts w:ascii="Arial" w:hAnsi="Arial" w:cs="Arial"/>
                <w:b/>
                <w:bCs/>
              </w:rPr>
            </w:pPr>
            <w:r w:rsidRPr="00AD1675">
              <w:rPr>
                <w:rFonts w:ascii="Arial" w:hAnsi="Arial" w:cs="Arial"/>
                <w:b/>
                <w:bCs/>
              </w:rPr>
              <w:t xml:space="preserve">  </w:t>
            </w:r>
            <w:r w:rsidRPr="000B5367">
              <w:rPr>
                <w:rFonts w:ascii="Arial" w:hAnsi="Arial" w:cs="Arial"/>
                <w:b/>
                <w:bCs/>
              </w:rPr>
              <w:t>Contractual changes area</w:t>
            </w:r>
          </w:p>
        </w:tc>
        <w:tc>
          <w:tcPr>
            <w:tcW w:w="3454" w:type="dxa"/>
            <w:shd w:val="clear" w:color="auto" w:fill="D9D9D9" w:themeFill="background1" w:themeFillShade="D9"/>
          </w:tcPr>
          <w:p w14:paraId="585E95A9" w14:textId="6F9A5099" w:rsidR="00740136" w:rsidRPr="000B5367" w:rsidRDefault="00DB283B" w:rsidP="009E74B0">
            <w:pPr>
              <w:jc w:val="center"/>
              <w:rPr>
                <w:rFonts w:ascii="Arial" w:hAnsi="Arial" w:cs="Arial"/>
                <w:b/>
                <w:bCs/>
              </w:rPr>
            </w:pPr>
            <w:r>
              <w:rPr>
                <w:rFonts w:ascii="Arial" w:hAnsi="Arial" w:cs="Arial"/>
                <w:b/>
                <w:bCs/>
              </w:rPr>
              <w:t xml:space="preserve">Decision making process </w:t>
            </w:r>
          </w:p>
          <w:p w14:paraId="3FA062D7" w14:textId="6EC8495E" w:rsidR="00740136" w:rsidRPr="000B5367" w:rsidRDefault="00740136" w:rsidP="00740136">
            <w:pPr>
              <w:rPr>
                <w:rFonts w:ascii="Arial" w:hAnsi="Arial" w:cs="Arial"/>
                <w:b/>
                <w:bCs/>
              </w:rPr>
            </w:pPr>
          </w:p>
        </w:tc>
        <w:tc>
          <w:tcPr>
            <w:tcW w:w="1843" w:type="dxa"/>
            <w:shd w:val="clear" w:color="auto" w:fill="D9D9D9" w:themeFill="background1" w:themeFillShade="D9"/>
          </w:tcPr>
          <w:p w14:paraId="06FCA1E8" w14:textId="29AAC287" w:rsidR="00740136" w:rsidRPr="000B5367" w:rsidRDefault="00740136" w:rsidP="009E74B0">
            <w:pPr>
              <w:jc w:val="center"/>
              <w:rPr>
                <w:rFonts w:ascii="Arial" w:hAnsi="Arial" w:cs="Arial"/>
                <w:b/>
                <w:bCs/>
              </w:rPr>
            </w:pPr>
            <w:r>
              <w:rPr>
                <w:rFonts w:ascii="Arial" w:hAnsi="Arial" w:cs="Arial"/>
                <w:b/>
                <w:bCs/>
              </w:rPr>
              <w:t xml:space="preserve">Action by: primary care team </w:t>
            </w:r>
          </w:p>
        </w:tc>
        <w:tc>
          <w:tcPr>
            <w:tcW w:w="2976" w:type="dxa"/>
            <w:shd w:val="clear" w:color="auto" w:fill="D9D9D9" w:themeFill="background1" w:themeFillShade="D9"/>
          </w:tcPr>
          <w:p w14:paraId="24DC05EB" w14:textId="77777777" w:rsidR="00740136" w:rsidRPr="000B5367" w:rsidRDefault="00740136" w:rsidP="009E74B0">
            <w:pPr>
              <w:jc w:val="center"/>
              <w:rPr>
                <w:rFonts w:ascii="Arial" w:hAnsi="Arial" w:cs="Arial"/>
                <w:b/>
                <w:bCs/>
              </w:rPr>
            </w:pPr>
            <w:r w:rsidRPr="000B5367">
              <w:rPr>
                <w:rFonts w:ascii="Arial" w:hAnsi="Arial" w:cs="Arial"/>
                <w:b/>
                <w:bCs/>
              </w:rPr>
              <w:t>When</w:t>
            </w:r>
          </w:p>
        </w:tc>
      </w:tr>
      <w:tr w:rsidR="00740136" w14:paraId="5888CEB6" w14:textId="77777777" w:rsidTr="009E74B0">
        <w:trPr>
          <w:trHeight w:val="715"/>
        </w:trPr>
        <w:tc>
          <w:tcPr>
            <w:tcW w:w="1928" w:type="dxa"/>
            <w:shd w:val="clear" w:color="auto" w:fill="D9D9D9" w:themeFill="background1" w:themeFillShade="D9"/>
          </w:tcPr>
          <w:p w14:paraId="35F5AC28" w14:textId="77777777" w:rsidR="00740136" w:rsidRPr="000D2CDB" w:rsidRDefault="00740136" w:rsidP="009E74B0">
            <w:pPr>
              <w:jc w:val="center"/>
              <w:rPr>
                <w:rFonts w:ascii="Arial" w:hAnsi="Arial" w:cs="Arial"/>
                <w:b/>
                <w:bCs/>
              </w:rPr>
            </w:pPr>
            <w:r w:rsidRPr="000D2CDB">
              <w:rPr>
                <w:rFonts w:ascii="Arial" w:hAnsi="Arial" w:cs="Arial"/>
                <w:b/>
                <w:bCs/>
              </w:rPr>
              <w:t>Practice boundary changes</w:t>
            </w:r>
          </w:p>
          <w:p w14:paraId="2CDA51D3" w14:textId="77777777" w:rsidR="00740136" w:rsidRPr="000D2CDB" w:rsidRDefault="00740136" w:rsidP="009E74B0">
            <w:pPr>
              <w:jc w:val="center"/>
              <w:rPr>
                <w:rFonts w:ascii="Arial" w:hAnsi="Arial" w:cs="Arial"/>
                <w:b/>
                <w:bCs/>
              </w:rPr>
            </w:pPr>
          </w:p>
        </w:tc>
        <w:tc>
          <w:tcPr>
            <w:tcW w:w="3454" w:type="dxa"/>
            <w:shd w:val="clear" w:color="auto" w:fill="D9E2F3" w:themeFill="accent1" w:themeFillTint="33"/>
          </w:tcPr>
          <w:p w14:paraId="4E81D694" w14:textId="7F48E5CD" w:rsidR="00740136" w:rsidRPr="00EB6B08" w:rsidRDefault="00740136" w:rsidP="009E74B0">
            <w:pPr>
              <w:rPr>
                <w:rFonts w:ascii="Arial" w:hAnsi="Arial" w:cs="Arial"/>
              </w:rPr>
            </w:pPr>
            <w:r>
              <w:rPr>
                <w:rFonts w:ascii="Arial" w:hAnsi="Arial" w:cs="Arial"/>
              </w:rPr>
              <w:t xml:space="preserve">Decision is made at PCSG </w:t>
            </w:r>
          </w:p>
        </w:tc>
        <w:tc>
          <w:tcPr>
            <w:tcW w:w="1843" w:type="dxa"/>
            <w:shd w:val="clear" w:color="auto" w:fill="FFE599" w:themeFill="accent4" w:themeFillTint="66"/>
          </w:tcPr>
          <w:p w14:paraId="6611DE2E" w14:textId="738EF1ED" w:rsidR="00740136" w:rsidRPr="000B5367" w:rsidRDefault="00740136" w:rsidP="009E74B0">
            <w:pPr>
              <w:jc w:val="center"/>
              <w:rPr>
                <w:rFonts w:ascii="Arial" w:hAnsi="Arial" w:cs="Arial"/>
              </w:rPr>
            </w:pPr>
            <w:r w:rsidRPr="000B5367">
              <w:rPr>
                <w:rFonts w:ascii="Arial" w:hAnsi="Arial" w:cs="Arial"/>
              </w:rPr>
              <w:t xml:space="preserve">To </w:t>
            </w:r>
            <w:r w:rsidR="00285D54">
              <w:rPr>
                <w:rFonts w:ascii="Arial" w:hAnsi="Arial" w:cs="Arial"/>
              </w:rPr>
              <w:t xml:space="preserve">be </w:t>
            </w:r>
            <w:r w:rsidRPr="000B5367">
              <w:rPr>
                <w:rFonts w:ascii="Arial" w:hAnsi="Arial" w:cs="Arial"/>
              </w:rPr>
              <w:t>complete</w:t>
            </w:r>
            <w:r w:rsidR="00204625">
              <w:rPr>
                <w:rFonts w:ascii="Arial" w:hAnsi="Arial" w:cs="Arial"/>
              </w:rPr>
              <w:t>d by Primary Care Team</w:t>
            </w:r>
          </w:p>
        </w:tc>
        <w:tc>
          <w:tcPr>
            <w:tcW w:w="2976" w:type="dxa"/>
            <w:shd w:val="clear" w:color="auto" w:fill="FFE599" w:themeFill="accent4" w:themeFillTint="66"/>
          </w:tcPr>
          <w:p w14:paraId="2A86B94F" w14:textId="77777777" w:rsidR="00740136" w:rsidRDefault="00DB283B" w:rsidP="009E74B0">
            <w:pPr>
              <w:jc w:val="center"/>
              <w:rPr>
                <w:rFonts w:ascii="Arial" w:hAnsi="Arial" w:cs="Arial"/>
              </w:rPr>
            </w:pPr>
            <w:r>
              <w:rPr>
                <w:rFonts w:ascii="Arial" w:hAnsi="Arial" w:cs="Arial"/>
              </w:rPr>
              <w:t xml:space="preserve">As part of the submission pack to PCSG. </w:t>
            </w:r>
          </w:p>
          <w:p w14:paraId="7B4E5691" w14:textId="77777777" w:rsidR="00204625" w:rsidRDefault="00204625" w:rsidP="009E74B0">
            <w:pPr>
              <w:jc w:val="center"/>
              <w:rPr>
                <w:rFonts w:ascii="Arial" w:hAnsi="Arial" w:cs="Arial"/>
              </w:rPr>
            </w:pPr>
          </w:p>
          <w:p w14:paraId="5685728F" w14:textId="30F98A8E" w:rsidR="00204625" w:rsidRPr="000B5367" w:rsidRDefault="00204625" w:rsidP="009E74B0">
            <w:pPr>
              <w:jc w:val="center"/>
              <w:rPr>
                <w:rFonts w:ascii="Arial" w:hAnsi="Arial" w:cs="Arial"/>
              </w:rPr>
            </w:pPr>
            <w:r>
              <w:rPr>
                <w:rFonts w:ascii="Arial" w:hAnsi="Arial" w:cs="Arial"/>
              </w:rPr>
              <w:t xml:space="preserve">Completed </w:t>
            </w:r>
            <w:hyperlink r:id="rId15" w:history="1">
              <w:r w:rsidR="00100943" w:rsidRPr="000B5367">
                <w:rPr>
                  <w:rStyle w:val="Hyperlink"/>
                  <w:rFonts w:ascii="Arial" w:eastAsia="Times New Roman" w:hAnsi="Arial" w:cs="Arial"/>
                  <w:lang w:eastAsia="en-GB"/>
                </w:rPr>
                <w:t>PPI Form</w:t>
              </w:r>
            </w:hyperlink>
            <w:r>
              <w:rPr>
                <w:rFonts w:ascii="Arial" w:hAnsi="Arial" w:cs="Arial"/>
              </w:rPr>
              <w:t xml:space="preserve"> to be fed into decision making process at PCSG. </w:t>
            </w:r>
          </w:p>
        </w:tc>
      </w:tr>
      <w:tr w:rsidR="00204625" w14:paraId="1C77DC1E" w14:textId="77777777" w:rsidTr="009E74B0">
        <w:trPr>
          <w:trHeight w:val="706"/>
        </w:trPr>
        <w:tc>
          <w:tcPr>
            <w:tcW w:w="1928" w:type="dxa"/>
            <w:shd w:val="clear" w:color="auto" w:fill="D9D9D9" w:themeFill="background1" w:themeFillShade="D9"/>
          </w:tcPr>
          <w:p w14:paraId="00D9810B" w14:textId="7A519128" w:rsidR="00204625" w:rsidRPr="00204625" w:rsidRDefault="00204625" w:rsidP="00100943">
            <w:pPr>
              <w:pStyle w:val="ListParagraph"/>
              <w:numPr>
                <w:ilvl w:val="0"/>
                <w:numId w:val="35"/>
              </w:numPr>
              <w:rPr>
                <w:rFonts w:ascii="Arial" w:hAnsi="Arial" w:cs="Arial"/>
                <w:b/>
                <w:bCs/>
              </w:rPr>
            </w:pPr>
            <w:r w:rsidRPr="00204625">
              <w:rPr>
                <w:rFonts w:ascii="Arial" w:hAnsi="Arial" w:cs="Arial"/>
                <w:b/>
                <w:bCs/>
              </w:rPr>
              <w:t>Merger</w:t>
            </w:r>
            <w:r w:rsidR="00100943">
              <w:rPr>
                <w:rFonts w:ascii="Arial" w:hAnsi="Arial" w:cs="Arial"/>
                <w:b/>
                <w:bCs/>
              </w:rPr>
              <w:t xml:space="preserve"> of</w:t>
            </w:r>
            <w:r w:rsidRPr="00204625">
              <w:rPr>
                <w:rFonts w:ascii="Arial" w:hAnsi="Arial" w:cs="Arial"/>
                <w:b/>
                <w:bCs/>
              </w:rPr>
              <w:t xml:space="preserve"> branches</w:t>
            </w:r>
          </w:p>
          <w:p w14:paraId="136EF223" w14:textId="3ED94B43" w:rsidR="00204625" w:rsidRPr="00204625" w:rsidRDefault="00204625" w:rsidP="00100943">
            <w:pPr>
              <w:pStyle w:val="ListParagraph"/>
              <w:numPr>
                <w:ilvl w:val="0"/>
                <w:numId w:val="35"/>
              </w:numPr>
              <w:rPr>
                <w:rFonts w:ascii="Arial" w:hAnsi="Arial" w:cs="Arial"/>
                <w:b/>
                <w:bCs/>
              </w:rPr>
            </w:pPr>
            <w:r w:rsidRPr="00204625">
              <w:rPr>
                <w:rFonts w:ascii="Arial" w:hAnsi="Arial" w:cs="Arial"/>
                <w:b/>
                <w:bCs/>
              </w:rPr>
              <w:t>Branch Closures</w:t>
            </w:r>
          </w:p>
          <w:p w14:paraId="0FE74807" w14:textId="7B08651C" w:rsidR="00204625" w:rsidRDefault="00204625" w:rsidP="00100943">
            <w:pPr>
              <w:pStyle w:val="ListParagraph"/>
              <w:numPr>
                <w:ilvl w:val="0"/>
                <w:numId w:val="35"/>
              </w:numPr>
              <w:rPr>
                <w:rFonts w:ascii="Arial" w:hAnsi="Arial" w:cs="Arial"/>
                <w:b/>
                <w:bCs/>
              </w:rPr>
            </w:pPr>
            <w:r w:rsidRPr="00204625">
              <w:rPr>
                <w:rFonts w:ascii="Arial" w:hAnsi="Arial" w:cs="Arial"/>
                <w:b/>
                <w:bCs/>
              </w:rPr>
              <w:t xml:space="preserve">New </w:t>
            </w:r>
            <w:r>
              <w:rPr>
                <w:rFonts w:ascii="Arial" w:hAnsi="Arial" w:cs="Arial"/>
                <w:b/>
                <w:bCs/>
              </w:rPr>
              <w:t>b</w:t>
            </w:r>
            <w:r w:rsidRPr="00204625">
              <w:rPr>
                <w:rFonts w:ascii="Arial" w:hAnsi="Arial" w:cs="Arial"/>
                <w:b/>
                <w:bCs/>
              </w:rPr>
              <w:t xml:space="preserve">ranch </w:t>
            </w:r>
          </w:p>
          <w:p w14:paraId="21BE505A" w14:textId="23A60938" w:rsidR="00204625" w:rsidRPr="00204625" w:rsidRDefault="00204625" w:rsidP="00100943">
            <w:pPr>
              <w:pStyle w:val="ListParagraph"/>
              <w:numPr>
                <w:ilvl w:val="0"/>
                <w:numId w:val="35"/>
              </w:numPr>
              <w:rPr>
                <w:rFonts w:ascii="Arial" w:hAnsi="Arial" w:cs="Arial"/>
                <w:b/>
                <w:bCs/>
              </w:rPr>
            </w:pPr>
            <w:r>
              <w:rPr>
                <w:rFonts w:ascii="Arial" w:hAnsi="Arial" w:cs="Arial"/>
                <w:b/>
                <w:bCs/>
              </w:rPr>
              <w:t>Relocation of a branch</w:t>
            </w:r>
          </w:p>
          <w:p w14:paraId="224BF046" w14:textId="77777777" w:rsidR="00204625" w:rsidRPr="000D2CDB" w:rsidRDefault="00204625" w:rsidP="00204625">
            <w:pPr>
              <w:jc w:val="center"/>
              <w:rPr>
                <w:rFonts w:ascii="Arial" w:hAnsi="Arial" w:cs="Arial"/>
                <w:b/>
                <w:bCs/>
              </w:rPr>
            </w:pPr>
          </w:p>
        </w:tc>
        <w:tc>
          <w:tcPr>
            <w:tcW w:w="3454" w:type="dxa"/>
            <w:shd w:val="clear" w:color="auto" w:fill="D9E2F3" w:themeFill="accent1" w:themeFillTint="33"/>
          </w:tcPr>
          <w:p w14:paraId="564D72D0" w14:textId="77777777" w:rsidR="00204625" w:rsidRDefault="00204625" w:rsidP="00204625">
            <w:pPr>
              <w:rPr>
                <w:rFonts w:ascii="Arial" w:hAnsi="Arial" w:cs="Arial"/>
              </w:rPr>
            </w:pPr>
            <w:r>
              <w:rPr>
                <w:rFonts w:ascii="Arial" w:hAnsi="Arial" w:cs="Arial"/>
              </w:rPr>
              <w:t>Decision are made in a 2 step process:</w:t>
            </w:r>
          </w:p>
          <w:p w14:paraId="743A770B" w14:textId="77777777" w:rsidR="00204625" w:rsidRDefault="00204625" w:rsidP="00204625">
            <w:pPr>
              <w:pStyle w:val="ListParagraph"/>
              <w:numPr>
                <w:ilvl w:val="0"/>
                <w:numId w:val="34"/>
              </w:numPr>
              <w:rPr>
                <w:rFonts w:ascii="Arial" w:hAnsi="Arial" w:cs="Arial"/>
              </w:rPr>
            </w:pPr>
            <w:r w:rsidRPr="00950146">
              <w:rPr>
                <w:rFonts w:ascii="Arial" w:hAnsi="Arial" w:cs="Arial"/>
              </w:rPr>
              <w:t>Stage 1 – agreed in principle (pending engagement)</w:t>
            </w:r>
          </w:p>
          <w:p w14:paraId="01F5C6E7" w14:textId="77777777" w:rsidR="00204625" w:rsidRPr="00950146" w:rsidRDefault="00204625" w:rsidP="00204625">
            <w:pPr>
              <w:pStyle w:val="ListParagraph"/>
              <w:rPr>
                <w:rFonts w:ascii="Arial" w:hAnsi="Arial" w:cs="Arial"/>
              </w:rPr>
            </w:pPr>
          </w:p>
          <w:p w14:paraId="4CDC4098" w14:textId="77777777" w:rsidR="00204625" w:rsidRPr="00EB6B08" w:rsidRDefault="00204625" w:rsidP="00204625">
            <w:pPr>
              <w:pStyle w:val="ListParagraph"/>
              <w:numPr>
                <w:ilvl w:val="0"/>
                <w:numId w:val="34"/>
              </w:numPr>
              <w:rPr>
                <w:rFonts w:ascii="Arial" w:hAnsi="Arial" w:cs="Arial"/>
              </w:rPr>
            </w:pPr>
            <w:r w:rsidRPr="00EB6B08">
              <w:rPr>
                <w:rFonts w:ascii="Arial" w:hAnsi="Arial" w:cs="Arial"/>
              </w:rPr>
              <w:t>Stage 2 – final decision following engagement</w:t>
            </w:r>
          </w:p>
        </w:tc>
        <w:tc>
          <w:tcPr>
            <w:tcW w:w="1843" w:type="dxa"/>
            <w:shd w:val="clear" w:color="auto" w:fill="FFE599" w:themeFill="accent4" w:themeFillTint="66"/>
          </w:tcPr>
          <w:p w14:paraId="38A6D54C" w14:textId="65A22103" w:rsidR="00204625" w:rsidRPr="00700552" w:rsidRDefault="00204625" w:rsidP="00204625">
            <w:pPr>
              <w:jc w:val="center"/>
              <w:rPr>
                <w:rFonts w:ascii="Arial" w:hAnsi="Arial" w:cs="Arial"/>
              </w:rPr>
            </w:pPr>
            <w:r w:rsidRPr="000B5367">
              <w:rPr>
                <w:rFonts w:ascii="Arial" w:hAnsi="Arial" w:cs="Arial"/>
              </w:rPr>
              <w:t xml:space="preserve">To </w:t>
            </w:r>
            <w:r w:rsidR="00285D54">
              <w:rPr>
                <w:rFonts w:ascii="Arial" w:hAnsi="Arial" w:cs="Arial"/>
              </w:rPr>
              <w:t xml:space="preserve">be </w:t>
            </w:r>
            <w:r w:rsidRPr="000B5367">
              <w:rPr>
                <w:rFonts w:ascii="Arial" w:hAnsi="Arial" w:cs="Arial"/>
              </w:rPr>
              <w:t>complete</w:t>
            </w:r>
            <w:r>
              <w:rPr>
                <w:rFonts w:ascii="Arial" w:hAnsi="Arial" w:cs="Arial"/>
              </w:rPr>
              <w:t>d by Primary Care Team</w:t>
            </w:r>
          </w:p>
        </w:tc>
        <w:tc>
          <w:tcPr>
            <w:tcW w:w="2976" w:type="dxa"/>
            <w:shd w:val="clear" w:color="auto" w:fill="FFE599" w:themeFill="accent4" w:themeFillTint="66"/>
          </w:tcPr>
          <w:p w14:paraId="7351996D" w14:textId="77777777" w:rsidR="00204625" w:rsidRPr="00700552" w:rsidRDefault="00204625" w:rsidP="00204625">
            <w:pPr>
              <w:jc w:val="center"/>
              <w:rPr>
                <w:rFonts w:ascii="Arial" w:hAnsi="Arial" w:cs="Arial"/>
              </w:rPr>
            </w:pPr>
            <w:r w:rsidRPr="00700552">
              <w:rPr>
                <w:rFonts w:ascii="Arial" w:hAnsi="Arial" w:cs="Arial"/>
              </w:rPr>
              <w:t>Once "Agreed in Principle" at PCSG</w:t>
            </w:r>
          </w:p>
        </w:tc>
      </w:tr>
      <w:tr w:rsidR="00204625" w14:paraId="0A1F4E60" w14:textId="77777777" w:rsidTr="009E74B0">
        <w:trPr>
          <w:trHeight w:val="715"/>
        </w:trPr>
        <w:tc>
          <w:tcPr>
            <w:tcW w:w="1928" w:type="dxa"/>
            <w:shd w:val="clear" w:color="auto" w:fill="D9D9D9" w:themeFill="background1" w:themeFillShade="D9"/>
          </w:tcPr>
          <w:p w14:paraId="3D442591" w14:textId="77777777" w:rsidR="00204625" w:rsidRPr="000D2CDB" w:rsidRDefault="00204625" w:rsidP="00204625">
            <w:pPr>
              <w:jc w:val="center"/>
              <w:rPr>
                <w:rFonts w:ascii="Arial" w:hAnsi="Arial" w:cs="Arial"/>
                <w:b/>
                <w:bCs/>
              </w:rPr>
            </w:pPr>
            <w:r w:rsidRPr="000D2CDB">
              <w:rPr>
                <w:rFonts w:ascii="Arial" w:hAnsi="Arial" w:cs="Arial"/>
                <w:b/>
                <w:bCs/>
              </w:rPr>
              <w:t>Close Lists</w:t>
            </w:r>
          </w:p>
          <w:p w14:paraId="7A620E21" w14:textId="77777777" w:rsidR="00204625" w:rsidRPr="000D2CDB" w:rsidRDefault="00204625" w:rsidP="00204625">
            <w:pPr>
              <w:jc w:val="center"/>
              <w:rPr>
                <w:rFonts w:ascii="Arial" w:hAnsi="Arial" w:cs="Arial"/>
                <w:b/>
                <w:bCs/>
              </w:rPr>
            </w:pPr>
          </w:p>
        </w:tc>
        <w:tc>
          <w:tcPr>
            <w:tcW w:w="3454" w:type="dxa"/>
            <w:shd w:val="clear" w:color="auto" w:fill="D9E2F3" w:themeFill="accent1" w:themeFillTint="33"/>
          </w:tcPr>
          <w:p w14:paraId="1EC4FBC1" w14:textId="77777777" w:rsidR="00204625" w:rsidRDefault="00204625" w:rsidP="00285D54">
            <w:pPr>
              <w:rPr>
                <w:rFonts w:ascii="Arial" w:hAnsi="Arial" w:cs="Arial"/>
              </w:rPr>
            </w:pPr>
            <w:r>
              <w:rPr>
                <w:rFonts w:ascii="Arial" w:hAnsi="Arial" w:cs="Arial"/>
              </w:rPr>
              <w:t>Decisions are made on safety reasons on a temporary basis only:</w:t>
            </w:r>
          </w:p>
          <w:p w14:paraId="05FAE705" w14:textId="1FFF5CE3" w:rsidR="00204625" w:rsidRDefault="00204625" w:rsidP="00285D54">
            <w:pPr>
              <w:pStyle w:val="ListParagraph"/>
              <w:numPr>
                <w:ilvl w:val="0"/>
                <w:numId w:val="34"/>
              </w:numPr>
              <w:rPr>
                <w:rFonts w:ascii="Arial" w:hAnsi="Arial" w:cs="Arial"/>
              </w:rPr>
            </w:pPr>
            <w:r>
              <w:rPr>
                <w:rFonts w:ascii="Arial" w:hAnsi="Arial" w:cs="Arial"/>
              </w:rPr>
              <w:t>Stage 1: 0-</w:t>
            </w:r>
            <w:r w:rsidRPr="00EB6B08">
              <w:rPr>
                <w:rFonts w:ascii="Arial" w:hAnsi="Arial" w:cs="Arial"/>
              </w:rPr>
              <w:t>3 monthly</w:t>
            </w:r>
            <w:r>
              <w:rPr>
                <w:rFonts w:ascii="Arial" w:hAnsi="Arial" w:cs="Arial"/>
              </w:rPr>
              <w:t xml:space="preserve"> closure</w:t>
            </w:r>
            <w:r w:rsidRPr="00EB6B08">
              <w:rPr>
                <w:rFonts w:ascii="Arial" w:hAnsi="Arial" w:cs="Arial"/>
              </w:rPr>
              <w:t xml:space="preserve"> </w:t>
            </w:r>
            <w:r>
              <w:rPr>
                <w:rFonts w:ascii="Arial" w:hAnsi="Arial" w:cs="Arial"/>
              </w:rPr>
              <w:t xml:space="preserve">decided </w:t>
            </w:r>
            <w:r w:rsidRPr="00EB6B08">
              <w:rPr>
                <w:rFonts w:ascii="Arial" w:hAnsi="Arial" w:cs="Arial"/>
              </w:rPr>
              <w:t>by the Assistant Director</w:t>
            </w:r>
            <w:r>
              <w:rPr>
                <w:rFonts w:ascii="Arial" w:hAnsi="Arial" w:cs="Arial"/>
              </w:rPr>
              <w:t xml:space="preserve"> of</w:t>
            </w:r>
            <w:r w:rsidRPr="00EB6B08">
              <w:rPr>
                <w:rFonts w:ascii="Arial" w:hAnsi="Arial" w:cs="Arial"/>
              </w:rPr>
              <w:t xml:space="preserve"> Primary Care</w:t>
            </w:r>
          </w:p>
          <w:p w14:paraId="057D5E5F" w14:textId="77777777" w:rsidR="00204625" w:rsidRDefault="00204625" w:rsidP="00285D54">
            <w:pPr>
              <w:pStyle w:val="ListParagraph"/>
              <w:rPr>
                <w:rFonts w:ascii="Arial" w:hAnsi="Arial" w:cs="Arial"/>
              </w:rPr>
            </w:pPr>
          </w:p>
          <w:p w14:paraId="359A14CA" w14:textId="34AA13BC" w:rsidR="00204625" w:rsidRPr="00EB6B08" w:rsidRDefault="00204625" w:rsidP="00285D54">
            <w:pPr>
              <w:pStyle w:val="ListParagraph"/>
              <w:numPr>
                <w:ilvl w:val="0"/>
                <w:numId w:val="34"/>
              </w:numPr>
              <w:rPr>
                <w:rFonts w:ascii="Arial" w:hAnsi="Arial" w:cs="Arial"/>
              </w:rPr>
            </w:pPr>
            <w:r>
              <w:rPr>
                <w:rFonts w:ascii="Arial" w:hAnsi="Arial" w:cs="Arial"/>
              </w:rPr>
              <w:t xml:space="preserve">Stage 2: </w:t>
            </w:r>
            <w:proofErr w:type="gramStart"/>
            <w:r>
              <w:rPr>
                <w:rFonts w:ascii="Arial" w:hAnsi="Arial" w:cs="Arial"/>
              </w:rPr>
              <w:t xml:space="preserve">4-12 </w:t>
            </w:r>
            <w:r w:rsidR="00100943">
              <w:rPr>
                <w:rFonts w:ascii="Arial" w:hAnsi="Arial" w:cs="Arial"/>
              </w:rPr>
              <w:t>m</w:t>
            </w:r>
            <w:r>
              <w:rPr>
                <w:rFonts w:ascii="Arial" w:hAnsi="Arial" w:cs="Arial"/>
              </w:rPr>
              <w:t>onth</w:t>
            </w:r>
            <w:proofErr w:type="gramEnd"/>
            <w:r>
              <w:rPr>
                <w:rFonts w:ascii="Arial" w:hAnsi="Arial" w:cs="Arial"/>
              </w:rPr>
              <w:t xml:space="preserve"> closure at the PCSG </w:t>
            </w:r>
          </w:p>
        </w:tc>
        <w:tc>
          <w:tcPr>
            <w:tcW w:w="1843" w:type="dxa"/>
            <w:shd w:val="clear" w:color="auto" w:fill="FFE599" w:themeFill="accent4" w:themeFillTint="66"/>
          </w:tcPr>
          <w:p w14:paraId="731C5EA6" w14:textId="742896C9" w:rsidR="00204625" w:rsidRPr="00700552" w:rsidRDefault="00204625" w:rsidP="00204625">
            <w:pPr>
              <w:jc w:val="center"/>
              <w:rPr>
                <w:rFonts w:ascii="Arial" w:hAnsi="Arial" w:cs="Arial"/>
              </w:rPr>
            </w:pPr>
            <w:r w:rsidRPr="000B5367">
              <w:rPr>
                <w:rFonts w:ascii="Arial" w:hAnsi="Arial" w:cs="Arial"/>
              </w:rPr>
              <w:t xml:space="preserve">To </w:t>
            </w:r>
            <w:r w:rsidR="00285D54">
              <w:rPr>
                <w:rFonts w:ascii="Arial" w:hAnsi="Arial" w:cs="Arial"/>
              </w:rPr>
              <w:t xml:space="preserve">be </w:t>
            </w:r>
            <w:r w:rsidRPr="000B5367">
              <w:rPr>
                <w:rFonts w:ascii="Arial" w:hAnsi="Arial" w:cs="Arial"/>
              </w:rPr>
              <w:t>complete</w:t>
            </w:r>
            <w:r>
              <w:rPr>
                <w:rFonts w:ascii="Arial" w:hAnsi="Arial" w:cs="Arial"/>
              </w:rPr>
              <w:t>d by Primary Care Team</w:t>
            </w:r>
          </w:p>
        </w:tc>
        <w:tc>
          <w:tcPr>
            <w:tcW w:w="2976" w:type="dxa"/>
            <w:shd w:val="clear" w:color="auto" w:fill="FFE599" w:themeFill="accent4" w:themeFillTint="66"/>
          </w:tcPr>
          <w:p w14:paraId="19EB7FD6" w14:textId="2FE92ABC" w:rsidR="00204625" w:rsidRDefault="00204625" w:rsidP="00204625">
            <w:pPr>
              <w:jc w:val="center"/>
              <w:rPr>
                <w:rFonts w:ascii="Arial" w:hAnsi="Arial" w:cs="Arial"/>
              </w:rPr>
            </w:pPr>
            <w:r>
              <w:rPr>
                <w:rFonts w:ascii="Arial" w:hAnsi="Arial" w:cs="Arial"/>
              </w:rPr>
              <w:t>A temporary form completed at stage 2 as part of submission paperwork for at PSCG.</w:t>
            </w:r>
          </w:p>
          <w:p w14:paraId="1990A361" w14:textId="77777777" w:rsidR="00204625" w:rsidRDefault="00204625" w:rsidP="00204625">
            <w:pPr>
              <w:jc w:val="center"/>
              <w:rPr>
                <w:rFonts w:ascii="Arial" w:hAnsi="Arial" w:cs="Arial"/>
              </w:rPr>
            </w:pPr>
          </w:p>
          <w:p w14:paraId="2267FB45" w14:textId="600280B4" w:rsidR="00204625" w:rsidRPr="00700552" w:rsidRDefault="00204625" w:rsidP="00204625">
            <w:pPr>
              <w:jc w:val="center"/>
              <w:rPr>
                <w:rFonts w:ascii="Arial" w:hAnsi="Arial" w:cs="Arial"/>
              </w:rPr>
            </w:pPr>
            <w:r>
              <w:rPr>
                <w:rFonts w:ascii="Arial" w:hAnsi="Arial" w:cs="Arial"/>
              </w:rPr>
              <w:t xml:space="preserve">Updated and tracked by Engagement </w:t>
            </w:r>
            <w:r w:rsidR="00100943">
              <w:rPr>
                <w:rFonts w:ascii="Arial" w:hAnsi="Arial" w:cs="Arial"/>
              </w:rPr>
              <w:t>T</w:t>
            </w:r>
            <w:r>
              <w:rPr>
                <w:rFonts w:ascii="Arial" w:hAnsi="Arial" w:cs="Arial"/>
              </w:rPr>
              <w:t xml:space="preserve">eam </w:t>
            </w:r>
          </w:p>
        </w:tc>
      </w:tr>
      <w:tr w:rsidR="00204625" w14:paraId="325DD1D5" w14:textId="77777777" w:rsidTr="009E74B0">
        <w:trPr>
          <w:trHeight w:val="706"/>
        </w:trPr>
        <w:tc>
          <w:tcPr>
            <w:tcW w:w="1928" w:type="dxa"/>
            <w:shd w:val="clear" w:color="auto" w:fill="D9D9D9" w:themeFill="background1" w:themeFillShade="D9"/>
          </w:tcPr>
          <w:p w14:paraId="6E0E7736" w14:textId="77777777" w:rsidR="00204625" w:rsidRPr="000D2CDB" w:rsidRDefault="00204625" w:rsidP="00204625">
            <w:pPr>
              <w:jc w:val="center"/>
              <w:rPr>
                <w:rFonts w:ascii="Arial" w:hAnsi="Arial" w:cs="Arial"/>
                <w:b/>
                <w:bCs/>
              </w:rPr>
            </w:pPr>
            <w:r w:rsidRPr="000D2CDB">
              <w:rPr>
                <w:rFonts w:ascii="Arial" w:hAnsi="Arial" w:cs="Arial"/>
                <w:b/>
                <w:bCs/>
              </w:rPr>
              <w:t>Procurement of a GP practice</w:t>
            </w:r>
          </w:p>
          <w:p w14:paraId="3C00579E" w14:textId="77777777" w:rsidR="00204625" w:rsidRPr="000D2CDB" w:rsidRDefault="00204625" w:rsidP="00204625">
            <w:pPr>
              <w:jc w:val="center"/>
              <w:rPr>
                <w:rFonts w:ascii="Arial" w:hAnsi="Arial" w:cs="Arial"/>
                <w:b/>
                <w:bCs/>
              </w:rPr>
            </w:pPr>
          </w:p>
        </w:tc>
        <w:tc>
          <w:tcPr>
            <w:tcW w:w="3454" w:type="dxa"/>
            <w:shd w:val="clear" w:color="auto" w:fill="D9E2F3" w:themeFill="accent1" w:themeFillTint="33"/>
          </w:tcPr>
          <w:p w14:paraId="742E0BC2" w14:textId="77777777" w:rsidR="00204625" w:rsidRDefault="00204625" w:rsidP="00204625">
            <w:pPr>
              <w:rPr>
                <w:rFonts w:ascii="Arial" w:hAnsi="Arial" w:cs="Arial"/>
              </w:rPr>
            </w:pPr>
            <w:r>
              <w:rPr>
                <w:rFonts w:ascii="Arial" w:hAnsi="Arial" w:cs="Arial"/>
              </w:rPr>
              <w:t xml:space="preserve">Decisions are made at the PSCG </w:t>
            </w:r>
          </w:p>
          <w:p w14:paraId="2585F6A2" w14:textId="77777777" w:rsidR="00204625" w:rsidRDefault="00204625" w:rsidP="00204625">
            <w:pPr>
              <w:jc w:val="center"/>
              <w:rPr>
                <w:rFonts w:ascii="Arial" w:hAnsi="Arial" w:cs="Arial"/>
              </w:rPr>
            </w:pPr>
          </w:p>
          <w:p w14:paraId="1F5360B9" w14:textId="3FE53283" w:rsidR="00204625" w:rsidRDefault="00204625" w:rsidP="00204625">
            <w:pPr>
              <w:rPr>
                <w:rFonts w:ascii="Arial" w:hAnsi="Arial" w:cs="Arial"/>
              </w:rPr>
            </w:pPr>
            <w:r>
              <w:rPr>
                <w:rFonts w:ascii="Arial" w:hAnsi="Arial" w:cs="Arial"/>
              </w:rPr>
              <w:lastRenderedPageBreak/>
              <w:t>Decision</w:t>
            </w:r>
            <w:r w:rsidR="00285D54">
              <w:rPr>
                <w:rFonts w:ascii="Arial" w:hAnsi="Arial" w:cs="Arial"/>
              </w:rPr>
              <w:t>s</w:t>
            </w:r>
            <w:r>
              <w:rPr>
                <w:rFonts w:ascii="Arial" w:hAnsi="Arial" w:cs="Arial"/>
              </w:rPr>
              <w:t xml:space="preserve"> are made in a </w:t>
            </w:r>
            <w:proofErr w:type="gramStart"/>
            <w:r>
              <w:rPr>
                <w:rFonts w:ascii="Arial" w:hAnsi="Arial" w:cs="Arial"/>
              </w:rPr>
              <w:t>2 step</w:t>
            </w:r>
            <w:proofErr w:type="gramEnd"/>
            <w:r>
              <w:rPr>
                <w:rFonts w:ascii="Arial" w:hAnsi="Arial" w:cs="Arial"/>
              </w:rPr>
              <w:t xml:space="preserve"> process:</w:t>
            </w:r>
          </w:p>
          <w:p w14:paraId="5CB251B4" w14:textId="77777777" w:rsidR="00204625" w:rsidRDefault="00204625" w:rsidP="00204625">
            <w:pPr>
              <w:pStyle w:val="ListParagraph"/>
              <w:numPr>
                <w:ilvl w:val="0"/>
                <w:numId w:val="34"/>
              </w:numPr>
              <w:spacing w:after="160" w:line="259" w:lineRule="auto"/>
              <w:rPr>
                <w:rFonts w:ascii="Arial" w:hAnsi="Arial" w:cs="Arial"/>
              </w:rPr>
            </w:pPr>
            <w:r w:rsidRPr="00950146">
              <w:rPr>
                <w:rFonts w:ascii="Arial" w:hAnsi="Arial" w:cs="Arial"/>
              </w:rPr>
              <w:t>Stage 1 – agreed in principle (pending engagement)</w:t>
            </w:r>
          </w:p>
          <w:p w14:paraId="3FF53E95" w14:textId="77777777" w:rsidR="00204625" w:rsidRPr="00950146" w:rsidRDefault="00204625" w:rsidP="00204625">
            <w:pPr>
              <w:pStyle w:val="ListParagraph"/>
              <w:rPr>
                <w:rFonts w:ascii="Arial" w:hAnsi="Arial" w:cs="Arial"/>
              </w:rPr>
            </w:pPr>
          </w:p>
          <w:p w14:paraId="3E6EABF3" w14:textId="77777777" w:rsidR="00204625" w:rsidRPr="00EB6B08" w:rsidRDefault="00204625" w:rsidP="00204625">
            <w:pPr>
              <w:pStyle w:val="ListParagraph"/>
              <w:numPr>
                <w:ilvl w:val="0"/>
                <w:numId w:val="34"/>
              </w:numPr>
              <w:rPr>
                <w:rFonts w:ascii="Arial" w:hAnsi="Arial" w:cs="Arial"/>
              </w:rPr>
            </w:pPr>
            <w:r w:rsidRPr="00EB6B08">
              <w:rPr>
                <w:rFonts w:ascii="Arial" w:hAnsi="Arial" w:cs="Arial"/>
              </w:rPr>
              <w:t>Stage 2 – final decision following engagement</w:t>
            </w:r>
          </w:p>
        </w:tc>
        <w:tc>
          <w:tcPr>
            <w:tcW w:w="1843" w:type="dxa"/>
            <w:shd w:val="clear" w:color="auto" w:fill="FFE599" w:themeFill="accent4" w:themeFillTint="66"/>
          </w:tcPr>
          <w:p w14:paraId="36C7709B" w14:textId="622EFE78" w:rsidR="00204625" w:rsidRPr="00700552" w:rsidRDefault="00204625" w:rsidP="00204625">
            <w:pPr>
              <w:jc w:val="center"/>
              <w:rPr>
                <w:rFonts w:ascii="Arial" w:hAnsi="Arial" w:cs="Arial"/>
              </w:rPr>
            </w:pPr>
            <w:r w:rsidRPr="000B5367">
              <w:rPr>
                <w:rFonts w:ascii="Arial" w:hAnsi="Arial" w:cs="Arial"/>
              </w:rPr>
              <w:lastRenderedPageBreak/>
              <w:t xml:space="preserve">To </w:t>
            </w:r>
            <w:r w:rsidR="00285D54">
              <w:rPr>
                <w:rFonts w:ascii="Arial" w:hAnsi="Arial" w:cs="Arial"/>
              </w:rPr>
              <w:t xml:space="preserve">be </w:t>
            </w:r>
            <w:r w:rsidRPr="000B5367">
              <w:rPr>
                <w:rFonts w:ascii="Arial" w:hAnsi="Arial" w:cs="Arial"/>
              </w:rPr>
              <w:t>complete</w:t>
            </w:r>
            <w:r>
              <w:rPr>
                <w:rFonts w:ascii="Arial" w:hAnsi="Arial" w:cs="Arial"/>
              </w:rPr>
              <w:t>d by Primary Care Team</w:t>
            </w:r>
          </w:p>
        </w:tc>
        <w:tc>
          <w:tcPr>
            <w:tcW w:w="2976" w:type="dxa"/>
            <w:shd w:val="clear" w:color="auto" w:fill="FFE599" w:themeFill="accent4" w:themeFillTint="66"/>
          </w:tcPr>
          <w:p w14:paraId="1C37B04B" w14:textId="77777777" w:rsidR="00204625" w:rsidRPr="00EB6B08" w:rsidRDefault="00204625" w:rsidP="00204625">
            <w:pPr>
              <w:jc w:val="center"/>
              <w:rPr>
                <w:rFonts w:ascii="Arial" w:hAnsi="Arial" w:cs="Arial"/>
                <w:b/>
                <w:bCs/>
              </w:rPr>
            </w:pPr>
            <w:r w:rsidRPr="00EB6B08">
              <w:rPr>
                <w:rFonts w:ascii="Arial" w:hAnsi="Arial" w:cs="Arial"/>
                <w:b/>
                <w:bCs/>
              </w:rPr>
              <w:t>For new practice sites:</w:t>
            </w:r>
          </w:p>
          <w:p w14:paraId="1F72F9C0" w14:textId="77777777" w:rsidR="00204625" w:rsidRDefault="00204625" w:rsidP="00204625">
            <w:pPr>
              <w:jc w:val="center"/>
              <w:rPr>
                <w:rFonts w:ascii="Arial" w:hAnsi="Arial" w:cs="Arial"/>
              </w:rPr>
            </w:pPr>
          </w:p>
          <w:p w14:paraId="18E3FFB0" w14:textId="77777777" w:rsidR="00204625" w:rsidRDefault="00204625" w:rsidP="00204625">
            <w:pPr>
              <w:jc w:val="center"/>
              <w:rPr>
                <w:rFonts w:ascii="Arial" w:hAnsi="Arial" w:cs="Arial"/>
              </w:rPr>
            </w:pPr>
            <w:r w:rsidRPr="00700552">
              <w:rPr>
                <w:rFonts w:ascii="Arial" w:hAnsi="Arial" w:cs="Arial"/>
              </w:rPr>
              <w:t>Once "Agreed in Principle" at PCSG and before EOI.</w:t>
            </w:r>
          </w:p>
          <w:p w14:paraId="7DD4BA9B" w14:textId="77777777" w:rsidR="00204625" w:rsidRDefault="00204625" w:rsidP="00204625">
            <w:pPr>
              <w:jc w:val="center"/>
              <w:rPr>
                <w:rFonts w:ascii="Arial" w:hAnsi="Arial" w:cs="Arial"/>
              </w:rPr>
            </w:pPr>
          </w:p>
          <w:p w14:paraId="03ECE6C5" w14:textId="1F193D0D" w:rsidR="00204625" w:rsidRPr="00700552" w:rsidRDefault="00204625" w:rsidP="00204625">
            <w:pPr>
              <w:jc w:val="center"/>
              <w:rPr>
                <w:rFonts w:ascii="Arial" w:hAnsi="Arial" w:cs="Arial"/>
              </w:rPr>
            </w:pPr>
          </w:p>
        </w:tc>
      </w:tr>
    </w:tbl>
    <w:p w14:paraId="5447B00B" w14:textId="77777777" w:rsidR="00740136" w:rsidRDefault="00740136" w:rsidP="00740136">
      <w:pPr>
        <w:rPr>
          <w:rFonts w:ascii="Arial" w:hAnsi="Arial" w:cs="Arial"/>
        </w:rPr>
      </w:pPr>
    </w:p>
    <w:p w14:paraId="747A2456" w14:textId="6CA4F1F9" w:rsidR="00D66EDC" w:rsidRPr="000B5367" w:rsidRDefault="00D66EDC" w:rsidP="0068001D">
      <w:pPr>
        <w:rPr>
          <w:rFonts w:ascii="Arial" w:hAnsi="Arial" w:cs="Arial"/>
          <w:b/>
          <w:bCs/>
        </w:rPr>
      </w:pPr>
      <w:r w:rsidRPr="000B5367">
        <w:rPr>
          <w:rFonts w:ascii="Arial" w:hAnsi="Arial" w:cs="Arial"/>
          <w:b/>
          <w:bCs/>
        </w:rPr>
        <w:t xml:space="preserve">Governance relating to Patient and Public Involvement </w:t>
      </w:r>
    </w:p>
    <w:p w14:paraId="61021E37" w14:textId="0535E12C" w:rsidR="00D66EDC" w:rsidRPr="00AD1675" w:rsidRDefault="00D66EDC" w:rsidP="00AD1675">
      <w:pPr>
        <w:pStyle w:val="ListParagraph"/>
        <w:numPr>
          <w:ilvl w:val="0"/>
          <w:numId w:val="34"/>
        </w:numPr>
        <w:rPr>
          <w:rFonts w:ascii="Arial" w:hAnsi="Arial" w:cs="Arial"/>
          <w:b/>
          <w:bCs/>
        </w:rPr>
      </w:pPr>
      <w:r w:rsidRPr="00AD1675">
        <w:rPr>
          <w:rFonts w:ascii="Arial" w:hAnsi="Arial" w:cs="Arial"/>
          <w:b/>
          <w:bCs/>
        </w:rPr>
        <w:t>Public Partnership Committee (PPC)</w:t>
      </w:r>
    </w:p>
    <w:p w14:paraId="7F630F2D" w14:textId="75EC4BC0" w:rsidR="00D66EDC" w:rsidRPr="000B5367" w:rsidRDefault="00D66EDC" w:rsidP="00D66EDC">
      <w:pPr>
        <w:rPr>
          <w:rFonts w:ascii="Arial" w:hAnsi="Arial" w:cs="Arial"/>
        </w:rPr>
      </w:pPr>
      <w:r w:rsidRPr="000B5367">
        <w:rPr>
          <w:rFonts w:ascii="Arial" w:hAnsi="Arial" w:cs="Arial"/>
        </w:rPr>
        <w:t xml:space="preserve">The Public Partnership Committee is one of five formal sub-committees of the ICB Board and reflects the significance the Board places on seeking to hear the views and voices of local people to help influence the work of the ICB. </w:t>
      </w:r>
      <w:r w:rsidR="000C3C5C">
        <w:rPr>
          <w:rFonts w:ascii="Arial" w:hAnsi="Arial" w:cs="Arial"/>
        </w:rPr>
        <w:t>Membership of the group is made up of Lay Representatives, Foundation Trust Governors, VCSE colleagues, and officers.</w:t>
      </w:r>
      <w:r w:rsidRPr="000B5367">
        <w:rPr>
          <w:rFonts w:ascii="Arial" w:hAnsi="Arial" w:cs="Arial"/>
        </w:rPr>
        <w:t xml:space="preserve"> Some key responsibilities are:</w:t>
      </w:r>
    </w:p>
    <w:p w14:paraId="164A2663" w14:textId="34F354DE" w:rsidR="00D66EDC" w:rsidRPr="000B5367" w:rsidRDefault="00D66EDC" w:rsidP="00100943">
      <w:pPr>
        <w:pStyle w:val="ListParagraph"/>
        <w:numPr>
          <w:ilvl w:val="0"/>
          <w:numId w:val="20"/>
        </w:numPr>
        <w:rPr>
          <w:rFonts w:ascii="Arial" w:hAnsi="Arial" w:cs="Arial"/>
        </w:rPr>
      </w:pPr>
      <w:r w:rsidRPr="000B5367">
        <w:rPr>
          <w:rFonts w:ascii="Arial" w:hAnsi="Arial" w:cs="Arial"/>
        </w:rPr>
        <w:t>Seek assurance that the JUCD Engagement Strategy is being fully implemented</w:t>
      </w:r>
    </w:p>
    <w:p w14:paraId="35AF7351" w14:textId="760B9C31" w:rsidR="00D66EDC" w:rsidRPr="000B5367" w:rsidRDefault="00D66EDC" w:rsidP="00100943">
      <w:pPr>
        <w:pStyle w:val="ListParagraph"/>
        <w:numPr>
          <w:ilvl w:val="0"/>
          <w:numId w:val="20"/>
        </w:numPr>
        <w:rPr>
          <w:rFonts w:ascii="Arial" w:hAnsi="Arial" w:cs="Arial"/>
        </w:rPr>
      </w:pPr>
      <w:r w:rsidRPr="000B5367">
        <w:rPr>
          <w:rFonts w:ascii="Arial" w:hAnsi="Arial" w:cs="Arial"/>
        </w:rPr>
        <w:t>Support the development of policy around legislation governing patient and public involvement and evaluate compliance with those legal duties</w:t>
      </w:r>
    </w:p>
    <w:p w14:paraId="26E7AB9E" w14:textId="5861F816" w:rsidR="00D66EDC" w:rsidRPr="000B5367" w:rsidRDefault="00D66EDC" w:rsidP="00100943">
      <w:pPr>
        <w:pStyle w:val="ListParagraph"/>
        <w:numPr>
          <w:ilvl w:val="0"/>
          <w:numId w:val="20"/>
        </w:numPr>
        <w:rPr>
          <w:rFonts w:ascii="Arial" w:hAnsi="Arial" w:cs="Arial"/>
        </w:rPr>
      </w:pPr>
      <w:r w:rsidRPr="000B5367">
        <w:rPr>
          <w:rFonts w:ascii="Arial" w:hAnsi="Arial" w:cs="Arial"/>
        </w:rPr>
        <w:t>Articulate and seek assurance of mitigation against risks which exist in seeking to achieve the objectives and ambitions set out in our policy and strategy</w:t>
      </w:r>
    </w:p>
    <w:p w14:paraId="1DE4FC4F" w14:textId="417746D3" w:rsidR="00D66EDC" w:rsidRPr="000B5367" w:rsidRDefault="00D66EDC" w:rsidP="00100943">
      <w:pPr>
        <w:pStyle w:val="ListParagraph"/>
        <w:numPr>
          <w:ilvl w:val="0"/>
          <w:numId w:val="20"/>
        </w:numPr>
        <w:rPr>
          <w:rFonts w:ascii="Arial" w:hAnsi="Arial" w:cs="Arial"/>
        </w:rPr>
      </w:pPr>
      <w:r w:rsidRPr="000B5367">
        <w:rPr>
          <w:rFonts w:ascii="Arial" w:hAnsi="Arial" w:cs="Arial"/>
        </w:rPr>
        <w:t>Manage performance against the principles outlined in JUCD Engagement strategy</w:t>
      </w:r>
    </w:p>
    <w:p w14:paraId="6DDBE010" w14:textId="5DBF2218" w:rsidR="00D66EDC" w:rsidRPr="000B5367" w:rsidRDefault="00D66EDC" w:rsidP="00D66EDC">
      <w:pPr>
        <w:rPr>
          <w:rFonts w:ascii="Arial" w:hAnsi="Arial" w:cs="Arial"/>
        </w:rPr>
      </w:pPr>
      <w:r w:rsidRPr="000B5367">
        <w:rPr>
          <w:rFonts w:ascii="Arial" w:hAnsi="Arial" w:cs="Arial"/>
        </w:rPr>
        <w:t>The PPC</w:t>
      </w:r>
      <w:r w:rsidR="000C3C5C">
        <w:rPr>
          <w:rFonts w:ascii="Arial" w:hAnsi="Arial" w:cs="Arial"/>
        </w:rPr>
        <w:t xml:space="preserve"> receives a spreadsheet outlining all PPI Forms received and assessed, once every 2 months, and </w:t>
      </w:r>
      <w:r w:rsidRPr="000B5367">
        <w:rPr>
          <w:rFonts w:ascii="Arial" w:hAnsi="Arial" w:cs="Arial"/>
        </w:rPr>
        <w:t>can request</w:t>
      </w:r>
      <w:r w:rsidR="000C3C5C">
        <w:rPr>
          <w:rFonts w:ascii="Arial" w:hAnsi="Arial" w:cs="Arial"/>
        </w:rPr>
        <w:t xml:space="preserve"> further information on any of these service changes or ask that a service change be put on the agenda of the next meeting. The E</w:t>
      </w:r>
      <w:r w:rsidRPr="000B5367">
        <w:rPr>
          <w:rFonts w:ascii="Arial" w:hAnsi="Arial" w:cs="Arial"/>
        </w:rPr>
        <w:t xml:space="preserve">ngagement </w:t>
      </w:r>
      <w:r w:rsidR="000C3C5C">
        <w:rPr>
          <w:rFonts w:ascii="Arial" w:hAnsi="Arial" w:cs="Arial"/>
        </w:rPr>
        <w:t>T</w:t>
      </w:r>
      <w:r w:rsidRPr="000B5367">
        <w:rPr>
          <w:rFonts w:ascii="Arial" w:hAnsi="Arial" w:cs="Arial"/>
        </w:rPr>
        <w:t xml:space="preserve">eam </w:t>
      </w:r>
      <w:r w:rsidR="000C3C5C">
        <w:rPr>
          <w:rFonts w:ascii="Arial" w:hAnsi="Arial" w:cs="Arial"/>
        </w:rPr>
        <w:t xml:space="preserve">also </w:t>
      </w:r>
      <w:r w:rsidRPr="000B5367">
        <w:rPr>
          <w:rFonts w:ascii="Arial" w:hAnsi="Arial" w:cs="Arial"/>
        </w:rPr>
        <w:t xml:space="preserve">identify </w:t>
      </w:r>
      <w:r w:rsidR="000C3C5C">
        <w:rPr>
          <w:rFonts w:ascii="Arial" w:hAnsi="Arial" w:cs="Arial"/>
        </w:rPr>
        <w:t xml:space="preserve">appropriate </w:t>
      </w:r>
      <w:r w:rsidRPr="000B5367">
        <w:rPr>
          <w:rFonts w:ascii="Arial" w:hAnsi="Arial" w:cs="Arial"/>
        </w:rPr>
        <w:t xml:space="preserve">projects </w:t>
      </w:r>
      <w:r w:rsidR="000C3C5C">
        <w:rPr>
          <w:rFonts w:ascii="Arial" w:hAnsi="Arial" w:cs="Arial"/>
        </w:rPr>
        <w:t>to make the committee aware of</w:t>
      </w:r>
      <w:r w:rsidR="00D9149D">
        <w:rPr>
          <w:rFonts w:ascii="Arial" w:hAnsi="Arial" w:cs="Arial"/>
        </w:rPr>
        <w:t>;</w:t>
      </w:r>
      <w:r w:rsidR="000C3C5C">
        <w:rPr>
          <w:rFonts w:ascii="Arial" w:hAnsi="Arial" w:cs="Arial"/>
        </w:rPr>
        <w:t xml:space="preserve"> these are usually service changes of a significant, or sensitive nature. </w:t>
      </w:r>
      <w:r w:rsidRPr="000B5367">
        <w:rPr>
          <w:rFonts w:ascii="Arial" w:hAnsi="Arial" w:cs="Arial"/>
        </w:rPr>
        <w:t xml:space="preserve"> </w:t>
      </w:r>
    </w:p>
    <w:p w14:paraId="463BFD84" w14:textId="75184623" w:rsidR="00D66EDC" w:rsidRPr="00AD1675" w:rsidRDefault="00D66EDC" w:rsidP="00AD1675">
      <w:pPr>
        <w:pStyle w:val="ListParagraph"/>
        <w:numPr>
          <w:ilvl w:val="0"/>
          <w:numId w:val="34"/>
        </w:numPr>
        <w:rPr>
          <w:rFonts w:ascii="Arial" w:hAnsi="Arial" w:cs="Arial"/>
          <w:b/>
          <w:bCs/>
        </w:rPr>
      </w:pPr>
      <w:r w:rsidRPr="00AD1675">
        <w:rPr>
          <w:rFonts w:ascii="Arial" w:hAnsi="Arial" w:cs="Arial"/>
          <w:b/>
          <w:bCs/>
        </w:rPr>
        <w:t xml:space="preserve">Health Overview and Scrutiny Committee (HOSC) </w:t>
      </w:r>
    </w:p>
    <w:p w14:paraId="2EF112A4" w14:textId="05352B71" w:rsidR="00D66EDC" w:rsidRDefault="00D9149D" w:rsidP="00D66EDC">
      <w:pPr>
        <w:rPr>
          <w:rFonts w:ascii="Arial" w:hAnsi="Arial" w:cs="Arial"/>
        </w:rPr>
      </w:pPr>
      <w:r>
        <w:rPr>
          <w:rFonts w:ascii="Arial" w:hAnsi="Arial" w:cs="Arial"/>
        </w:rPr>
        <w:t xml:space="preserve">Guidance on the role of the </w:t>
      </w:r>
      <w:r w:rsidR="00D66EDC" w:rsidRPr="000B5367">
        <w:rPr>
          <w:rFonts w:ascii="Arial" w:hAnsi="Arial" w:cs="Arial"/>
        </w:rPr>
        <w:t xml:space="preserve">Health Overview and Scrutiny Committee </w:t>
      </w:r>
      <w:r>
        <w:rPr>
          <w:rFonts w:ascii="Arial" w:hAnsi="Arial" w:cs="Arial"/>
        </w:rPr>
        <w:t>(</w:t>
      </w:r>
      <w:r w:rsidR="000C3C5C">
        <w:rPr>
          <w:rFonts w:ascii="Arial" w:hAnsi="Arial" w:cs="Arial"/>
        </w:rPr>
        <w:t>HOSC</w:t>
      </w:r>
      <w:r>
        <w:rPr>
          <w:rFonts w:ascii="Arial" w:hAnsi="Arial" w:cs="Arial"/>
        </w:rPr>
        <w:t>)</w:t>
      </w:r>
      <w:r w:rsidR="000C3C5C">
        <w:rPr>
          <w:rFonts w:ascii="Arial" w:hAnsi="Arial" w:cs="Arial"/>
        </w:rPr>
        <w:t xml:space="preserve"> can be found </w:t>
      </w:r>
      <w:hyperlink r:id="rId16" w:history="1">
        <w:r w:rsidR="000C3C5C" w:rsidRPr="000C3C5C">
          <w:rPr>
            <w:rStyle w:val="Hyperlink"/>
            <w:rFonts w:ascii="Arial" w:hAnsi="Arial" w:cs="Arial"/>
          </w:rPr>
          <w:t>here</w:t>
        </w:r>
      </w:hyperlink>
      <w:r w:rsidR="00285D54">
        <w:rPr>
          <w:rFonts w:ascii="Arial" w:hAnsi="Arial" w:cs="Arial"/>
        </w:rPr>
        <w:t>.</w:t>
      </w:r>
    </w:p>
    <w:p w14:paraId="26F33788" w14:textId="77777777" w:rsidR="000B5367" w:rsidRDefault="000B5367" w:rsidP="00D66EDC">
      <w:pPr>
        <w:rPr>
          <w:rFonts w:ascii="Arial" w:hAnsi="Arial" w:cs="Arial"/>
        </w:rPr>
      </w:pPr>
    </w:p>
    <w:p w14:paraId="33207F74" w14:textId="34E4D43E" w:rsidR="00E04193" w:rsidRPr="000B5367" w:rsidRDefault="00E04193" w:rsidP="00D66EDC">
      <w:pPr>
        <w:rPr>
          <w:rFonts w:ascii="Arial" w:hAnsi="Arial" w:cs="Arial"/>
        </w:rPr>
      </w:pPr>
    </w:p>
    <w:sectPr w:rsidR="00E04193" w:rsidRPr="000B5367" w:rsidSect="00D66EDC">
      <w:headerReference w:type="default" r:id="rId17"/>
      <w:footerReference w:type="default" r:id="rId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4A51" w14:textId="77777777" w:rsidR="00A00FC6" w:rsidRDefault="00A00FC6" w:rsidP="00F60DD0">
      <w:pPr>
        <w:spacing w:after="0" w:line="240" w:lineRule="auto"/>
      </w:pPr>
      <w:r>
        <w:separator/>
      </w:r>
    </w:p>
  </w:endnote>
  <w:endnote w:type="continuationSeparator" w:id="0">
    <w:p w14:paraId="4BD03C52" w14:textId="77777777" w:rsidR="00A00FC6" w:rsidRDefault="00A00FC6" w:rsidP="00F6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15512"/>
      <w:docPartObj>
        <w:docPartGallery w:val="Page Numbers (Bottom of Page)"/>
        <w:docPartUnique/>
      </w:docPartObj>
    </w:sdtPr>
    <w:sdtEndPr>
      <w:rPr>
        <w:noProof/>
      </w:rPr>
    </w:sdtEndPr>
    <w:sdtContent>
      <w:p w14:paraId="7E6A160C" w14:textId="0CF0329E" w:rsidR="00387924" w:rsidRDefault="003879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4374CA" w14:textId="77777777" w:rsidR="00387924" w:rsidRDefault="00387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54E2E" w14:textId="77777777" w:rsidR="00A00FC6" w:rsidRDefault="00A00FC6" w:rsidP="00F60DD0">
      <w:pPr>
        <w:spacing w:after="0" w:line="240" w:lineRule="auto"/>
      </w:pPr>
      <w:r>
        <w:separator/>
      </w:r>
    </w:p>
  </w:footnote>
  <w:footnote w:type="continuationSeparator" w:id="0">
    <w:p w14:paraId="121C0B55" w14:textId="77777777" w:rsidR="00A00FC6" w:rsidRDefault="00A00FC6" w:rsidP="00F60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8607" w14:textId="09D9BF2D" w:rsidR="00F60DD0" w:rsidRDefault="00F60DD0" w:rsidP="00F60DD0">
    <w:pPr>
      <w:pStyle w:val="Header"/>
      <w:tabs>
        <w:tab w:val="clear" w:pos="4513"/>
        <w:tab w:val="clear" w:pos="9026"/>
        <w:tab w:val="left" w:pos="2915"/>
      </w:tabs>
    </w:pPr>
    <w:r>
      <w:rPr>
        <w:noProof/>
      </w:rPr>
      <w:drawing>
        <wp:anchor distT="0" distB="0" distL="114300" distR="114300" simplePos="0" relativeHeight="251661312" behindDoc="1" locked="0" layoutInCell="1" allowOverlap="1" wp14:anchorId="712D9272" wp14:editId="04308A36">
          <wp:simplePos x="0" y="0"/>
          <wp:positionH relativeFrom="page">
            <wp:posOffset>14630</wp:posOffset>
          </wp:positionH>
          <wp:positionV relativeFrom="paragraph">
            <wp:posOffset>-403149</wp:posOffset>
          </wp:positionV>
          <wp:extent cx="2038985" cy="816610"/>
          <wp:effectExtent l="0" t="0" r="0" b="0"/>
          <wp:wrapTight wrapText="bothSides">
            <wp:wrapPolygon edited="0">
              <wp:start x="605" y="1512"/>
              <wp:lineTo x="605" y="14613"/>
              <wp:lineTo x="5045" y="18644"/>
              <wp:lineTo x="9889" y="20156"/>
              <wp:lineTo x="11099" y="20156"/>
              <wp:lineTo x="16145" y="18644"/>
              <wp:lineTo x="20786" y="14613"/>
              <wp:lineTo x="20786" y="1512"/>
              <wp:lineTo x="605" y="1512"/>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8985" cy="8166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7CEFEC28" wp14:editId="52E9933E">
          <wp:simplePos x="0" y="0"/>
          <wp:positionH relativeFrom="page">
            <wp:align>right</wp:align>
          </wp:positionH>
          <wp:positionV relativeFrom="paragraph">
            <wp:posOffset>-447167</wp:posOffset>
          </wp:positionV>
          <wp:extent cx="2037080" cy="917575"/>
          <wp:effectExtent l="0" t="0" r="0" b="0"/>
          <wp:wrapTight wrapText="bothSides">
            <wp:wrapPolygon edited="0">
              <wp:start x="12726" y="2691"/>
              <wp:lineTo x="1010" y="10763"/>
              <wp:lineTo x="1010" y="13453"/>
              <wp:lineTo x="6060" y="17489"/>
              <wp:lineTo x="9090" y="18386"/>
              <wp:lineTo x="10504" y="18386"/>
              <wp:lineTo x="19594" y="17489"/>
              <wp:lineTo x="20200" y="11211"/>
              <wp:lineTo x="19392" y="10763"/>
              <wp:lineTo x="20200" y="7624"/>
              <wp:lineTo x="19796" y="2691"/>
              <wp:lineTo x="12726" y="2691"/>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37080" cy="9175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6EA"/>
    <w:multiLevelType w:val="multilevel"/>
    <w:tmpl w:val="222C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6973E4"/>
    <w:multiLevelType w:val="hybridMultilevel"/>
    <w:tmpl w:val="9F5E462A"/>
    <w:lvl w:ilvl="0" w:tplc="525C28B8">
      <w:numFmt w:val="bullet"/>
      <w:lvlText w:val="•"/>
      <w:lvlJc w:val="left"/>
      <w:pPr>
        <w:ind w:left="750" w:hanging="75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87520"/>
    <w:multiLevelType w:val="multilevel"/>
    <w:tmpl w:val="C7280686"/>
    <w:lvl w:ilvl="0">
      <w:start w:val="27"/>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66483F"/>
    <w:multiLevelType w:val="hybridMultilevel"/>
    <w:tmpl w:val="A76C8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9B572B"/>
    <w:multiLevelType w:val="hybridMultilevel"/>
    <w:tmpl w:val="B0622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0373A"/>
    <w:multiLevelType w:val="hybridMultilevel"/>
    <w:tmpl w:val="C95C7E4C"/>
    <w:lvl w:ilvl="0" w:tplc="A4B2BF38">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67C86"/>
    <w:multiLevelType w:val="hybridMultilevel"/>
    <w:tmpl w:val="47E22D14"/>
    <w:lvl w:ilvl="0" w:tplc="83BE81AC">
      <w:start w:val="5"/>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19EC2D89"/>
    <w:multiLevelType w:val="hybridMultilevel"/>
    <w:tmpl w:val="DAB6F7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BE2E1E"/>
    <w:multiLevelType w:val="hybridMultilevel"/>
    <w:tmpl w:val="5664A242"/>
    <w:lvl w:ilvl="0" w:tplc="0809000F">
      <w:start w:val="1"/>
      <w:numFmt w:val="decimal"/>
      <w:lvlText w:val="%1."/>
      <w:lvlJc w:val="left"/>
      <w:pPr>
        <w:ind w:left="410" w:hanging="360"/>
      </w:pPr>
    </w:lvl>
    <w:lvl w:ilvl="1" w:tplc="FFFFFFFF">
      <w:start w:val="1"/>
      <w:numFmt w:val="bullet"/>
      <w:lvlText w:val="o"/>
      <w:lvlJc w:val="left"/>
      <w:pPr>
        <w:ind w:left="1130" w:hanging="360"/>
      </w:pPr>
      <w:rPr>
        <w:rFonts w:ascii="Courier New" w:hAnsi="Courier New" w:cs="Courier New" w:hint="default"/>
      </w:rPr>
    </w:lvl>
    <w:lvl w:ilvl="2" w:tplc="FFFFFFFF">
      <w:start w:val="1"/>
      <w:numFmt w:val="bullet"/>
      <w:lvlText w:val=""/>
      <w:lvlJc w:val="left"/>
      <w:pPr>
        <w:ind w:left="1850" w:hanging="360"/>
      </w:pPr>
      <w:rPr>
        <w:rFonts w:ascii="Wingdings" w:hAnsi="Wingdings" w:hint="default"/>
      </w:rPr>
    </w:lvl>
    <w:lvl w:ilvl="3" w:tplc="FFFFFFFF">
      <w:start w:val="1"/>
      <w:numFmt w:val="bullet"/>
      <w:lvlText w:val=""/>
      <w:lvlJc w:val="left"/>
      <w:pPr>
        <w:ind w:left="2570" w:hanging="360"/>
      </w:pPr>
      <w:rPr>
        <w:rFonts w:ascii="Symbol" w:hAnsi="Symbol" w:hint="default"/>
      </w:rPr>
    </w:lvl>
    <w:lvl w:ilvl="4" w:tplc="FFFFFFFF">
      <w:start w:val="1"/>
      <w:numFmt w:val="bullet"/>
      <w:lvlText w:val="o"/>
      <w:lvlJc w:val="left"/>
      <w:pPr>
        <w:ind w:left="3290" w:hanging="360"/>
      </w:pPr>
      <w:rPr>
        <w:rFonts w:ascii="Courier New" w:hAnsi="Courier New" w:cs="Courier New" w:hint="default"/>
      </w:rPr>
    </w:lvl>
    <w:lvl w:ilvl="5" w:tplc="FFFFFFFF">
      <w:start w:val="1"/>
      <w:numFmt w:val="bullet"/>
      <w:lvlText w:val=""/>
      <w:lvlJc w:val="left"/>
      <w:pPr>
        <w:ind w:left="4010" w:hanging="360"/>
      </w:pPr>
      <w:rPr>
        <w:rFonts w:ascii="Wingdings" w:hAnsi="Wingdings" w:hint="default"/>
      </w:rPr>
    </w:lvl>
    <w:lvl w:ilvl="6" w:tplc="FFFFFFFF">
      <w:start w:val="1"/>
      <w:numFmt w:val="bullet"/>
      <w:lvlText w:val=""/>
      <w:lvlJc w:val="left"/>
      <w:pPr>
        <w:ind w:left="4730" w:hanging="360"/>
      </w:pPr>
      <w:rPr>
        <w:rFonts w:ascii="Symbol" w:hAnsi="Symbol" w:hint="default"/>
      </w:rPr>
    </w:lvl>
    <w:lvl w:ilvl="7" w:tplc="FFFFFFFF">
      <w:start w:val="1"/>
      <w:numFmt w:val="bullet"/>
      <w:lvlText w:val="o"/>
      <w:lvlJc w:val="left"/>
      <w:pPr>
        <w:ind w:left="5450" w:hanging="360"/>
      </w:pPr>
      <w:rPr>
        <w:rFonts w:ascii="Courier New" w:hAnsi="Courier New" w:cs="Courier New" w:hint="default"/>
      </w:rPr>
    </w:lvl>
    <w:lvl w:ilvl="8" w:tplc="FFFFFFFF">
      <w:start w:val="1"/>
      <w:numFmt w:val="bullet"/>
      <w:lvlText w:val=""/>
      <w:lvlJc w:val="left"/>
      <w:pPr>
        <w:ind w:left="6170" w:hanging="360"/>
      </w:pPr>
      <w:rPr>
        <w:rFonts w:ascii="Wingdings" w:hAnsi="Wingdings" w:hint="default"/>
      </w:rPr>
    </w:lvl>
  </w:abstractNum>
  <w:abstractNum w:abstractNumId="9" w15:restartNumberingAfterBreak="0">
    <w:nsid w:val="1AF13382"/>
    <w:multiLevelType w:val="hybridMultilevel"/>
    <w:tmpl w:val="8DACA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D14D0"/>
    <w:multiLevelType w:val="hybridMultilevel"/>
    <w:tmpl w:val="D70A2622"/>
    <w:lvl w:ilvl="0" w:tplc="F56E238A">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1D5B6558"/>
    <w:multiLevelType w:val="hybridMultilevel"/>
    <w:tmpl w:val="7638ADCE"/>
    <w:lvl w:ilvl="0" w:tplc="525C28B8">
      <w:numFmt w:val="bullet"/>
      <w:lvlText w:val="•"/>
      <w:lvlJc w:val="left"/>
      <w:pPr>
        <w:ind w:left="750" w:hanging="75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16F58"/>
    <w:multiLevelType w:val="hybridMultilevel"/>
    <w:tmpl w:val="ED7C5E0A"/>
    <w:lvl w:ilvl="0" w:tplc="B248FF90">
      <w:start w:val="24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226F310E"/>
    <w:multiLevelType w:val="hybridMultilevel"/>
    <w:tmpl w:val="64463AA6"/>
    <w:lvl w:ilvl="0" w:tplc="08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5A44552"/>
    <w:multiLevelType w:val="multilevel"/>
    <w:tmpl w:val="2F8A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74591A"/>
    <w:multiLevelType w:val="hybridMultilevel"/>
    <w:tmpl w:val="46582780"/>
    <w:lvl w:ilvl="0" w:tplc="28468546">
      <w:numFmt w:val="bullet"/>
      <w:lvlText w:val="-"/>
      <w:lvlJc w:val="left"/>
      <w:pPr>
        <w:ind w:left="410" w:hanging="360"/>
      </w:pPr>
      <w:rPr>
        <w:rFonts w:ascii="Calibri" w:eastAsia="Calibr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start w:val="1"/>
      <w:numFmt w:val="bullet"/>
      <w:lvlText w:val=""/>
      <w:lvlJc w:val="left"/>
      <w:pPr>
        <w:ind w:left="1850" w:hanging="360"/>
      </w:pPr>
      <w:rPr>
        <w:rFonts w:ascii="Wingdings" w:hAnsi="Wingdings" w:hint="default"/>
      </w:rPr>
    </w:lvl>
    <w:lvl w:ilvl="3" w:tplc="08090001">
      <w:start w:val="1"/>
      <w:numFmt w:val="bullet"/>
      <w:lvlText w:val=""/>
      <w:lvlJc w:val="left"/>
      <w:pPr>
        <w:ind w:left="2570" w:hanging="360"/>
      </w:pPr>
      <w:rPr>
        <w:rFonts w:ascii="Symbol" w:hAnsi="Symbol" w:hint="default"/>
      </w:rPr>
    </w:lvl>
    <w:lvl w:ilvl="4" w:tplc="08090003">
      <w:start w:val="1"/>
      <w:numFmt w:val="bullet"/>
      <w:lvlText w:val="o"/>
      <w:lvlJc w:val="left"/>
      <w:pPr>
        <w:ind w:left="3290" w:hanging="360"/>
      </w:pPr>
      <w:rPr>
        <w:rFonts w:ascii="Courier New" w:hAnsi="Courier New" w:cs="Courier New" w:hint="default"/>
      </w:rPr>
    </w:lvl>
    <w:lvl w:ilvl="5" w:tplc="08090005">
      <w:start w:val="1"/>
      <w:numFmt w:val="bullet"/>
      <w:lvlText w:val=""/>
      <w:lvlJc w:val="left"/>
      <w:pPr>
        <w:ind w:left="4010" w:hanging="360"/>
      </w:pPr>
      <w:rPr>
        <w:rFonts w:ascii="Wingdings" w:hAnsi="Wingdings" w:hint="default"/>
      </w:rPr>
    </w:lvl>
    <w:lvl w:ilvl="6" w:tplc="08090001">
      <w:start w:val="1"/>
      <w:numFmt w:val="bullet"/>
      <w:lvlText w:val=""/>
      <w:lvlJc w:val="left"/>
      <w:pPr>
        <w:ind w:left="4730" w:hanging="360"/>
      </w:pPr>
      <w:rPr>
        <w:rFonts w:ascii="Symbol" w:hAnsi="Symbol" w:hint="default"/>
      </w:rPr>
    </w:lvl>
    <w:lvl w:ilvl="7" w:tplc="08090003">
      <w:start w:val="1"/>
      <w:numFmt w:val="bullet"/>
      <w:lvlText w:val="o"/>
      <w:lvlJc w:val="left"/>
      <w:pPr>
        <w:ind w:left="5450" w:hanging="360"/>
      </w:pPr>
      <w:rPr>
        <w:rFonts w:ascii="Courier New" w:hAnsi="Courier New" w:cs="Courier New" w:hint="default"/>
      </w:rPr>
    </w:lvl>
    <w:lvl w:ilvl="8" w:tplc="08090005">
      <w:start w:val="1"/>
      <w:numFmt w:val="bullet"/>
      <w:lvlText w:val=""/>
      <w:lvlJc w:val="left"/>
      <w:pPr>
        <w:ind w:left="6170" w:hanging="360"/>
      </w:pPr>
      <w:rPr>
        <w:rFonts w:ascii="Wingdings" w:hAnsi="Wingdings" w:hint="default"/>
      </w:rPr>
    </w:lvl>
  </w:abstractNum>
  <w:abstractNum w:abstractNumId="16" w15:restartNumberingAfterBreak="0">
    <w:nsid w:val="2B506841"/>
    <w:multiLevelType w:val="hybridMultilevel"/>
    <w:tmpl w:val="84C271D8"/>
    <w:lvl w:ilvl="0" w:tplc="525C28B8">
      <w:numFmt w:val="bullet"/>
      <w:lvlText w:val="•"/>
      <w:lvlJc w:val="left"/>
      <w:pPr>
        <w:ind w:left="750" w:hanging="75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3A122E"/>
    <w:multiLevelType w:val="multilevel"/>
    <w:tmpl w:val="372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86308B"/>
    <w:multiLevelType w:val="hybridMultilevel"/>
    <w:tmpl w:val="12046CA4"/>
    <w:lvl w:ilvl="0" w:tplc="B70A6BFC">
      <w:start w:val="27"/>
      <w:numFmt w:val="bullet"/>
      <w:lvlText w:val="-"/>
      <w:lvlJc w:val="left"/>
      <w:pPr>
        <w:ind w:left="410" w:hanging="360"/>
      </w:pPr>
      <w:rPr>
        <w:rFonts w:ascii="Calibri" w:eastAsiaTheme="minorHAns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9" w15:restartNumberingAfterBreak="0">
    <w:nsid w:val="361F7BF1"/>
    <w:multiLevelType w:val="multilevel"/>
    <w:tmpl w:val="4952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9C4443"/>
    <w:multiLevelType w:val="hybridMultilevel"/>
    <w:tmpl w:val="EE48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405290"/>
    <w:multiLevelType w:val="multilevel"/>
    <w:tmpl w:val="47A2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C3AC4"/>
    <w:multiLevelType w:val="multilevel"/>
    <w:tmpl w:val="5450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982F02"/>
    <w:multiLevelType w:val="hybridMultilevel"/>
    <w:tmpl w:val="1F320E7A"/>
    <w:lvl w:ilvl="0" w:tplc="B70A6BFC">
      <w:start w:val="27"/>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F35230A"/>
    <w:multiLevelType w:val="hybridMultilevel"/>
    <w:tmpl w:val="F490BAAE"/>
    <w:lvl w:ilvl="0" w:tplc="525C28B8">
      <w:numFmt w:val="bullet"/>
      <w:lvlText w:val="•"/>
      <w:lvlJc w:val="left"/>
      <w:pPr>
        <w:ind w:left="750" w:hanging="75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10D6252"/>
    <w:multiLevelType w:val="multilevel"/>
    <w:tmpl w:val="CB12E708"/>
    <w:lvl w:ilvl="0">
      <w:start w:val="27"/>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0853A9"/>
    <w:multiLevelType w:val="hybridMultilevel"/>
    <w:tmpl w:val="A3D49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D45775"/>
    <w:multiLevelType w:val="hybridMultilevel"/>
    <w:tmpl w:val="76C044F0"/>
    <w:lvl w:ilvl="0" w:tplc="94E8FF4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09311C"/>
    <w:multiLevelType w:val="hybridMultilevel"/>
    <w:tmpl w:val="58AE6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FC3571"/>
    <w:multiLevelType w:val="multilevel"/>
    <w:tmpl w:val="D2FE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031BDC"/>
    <w:multiLevelType w:val="multilevel"/>
    <w:tmpl w:val="0FF4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3E09BA"/>
    <w:multiLevelType w:val="multilevel"/>
    <w:tmpl w:val="C7280686"/>
    <w:lvl w:ilvl="0">
      <w:start w:val="27"/>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6ED70243"/>
    <w:multiLevelType w:val="multilevel"/>
    <w:tmpl w:val="03682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0077010">
    <w:abstractNumId w:val="18"/>
  </w:num>
  <w:num w:numId="2" w16cid:durableId="957687395">
    <w:abstractNumId w:val="17"/>
  </w:num>
  <w:num w:numId="3" w16cid:durableId="1578512083">
    <w:abstractNumId w:val="22"/>
  </w:num>
  <w:num w:numId="4" w16cid:durableId="682826956">
    <w:abstractNumId w:val="30"/>
  </w:num>
  <w:num w:numId="5" w16cid:durableId="10228264">
    <w:abstractNumId w:val="21"/>
  </w:num>
  <w:num w:numId="6" w16cid:durableId="1217543136">
    <w:abstractNumId w:val="0"/>
  </w:num>
  <w:num w:numId="7" w16cid:durableId="830484438">
    <w:abstractNumId w:val="29"/>
  </w:num>
  <w:num w:numId="8" w16cid:durableId="1472870022">
    <w:abstractNumId w:val="32"/>
  </w:num>
  <w:num w:numId="9" w16cid:durableId="1732076076">
    <w:abstractNumId w:val="19"/>
  </w:num>
  <w:num w:numId="10" w16cid:durableId="171838560">
    <w:abstractNumId w:val="14"/>
  </w:num>
  <w:num w:numId="11" w16cid:durableId="382288892">
    <w:abstractNumId w:val="2"/>
  </w:num>
  <w:num w:numId="12" w16cid:durableId="790830621">
    <w:abstractNumId w:val="25"/>
  </w:num>
  <w:num w:numId="13" w16cid:durableId="387606013">
    <w:abstractNumId w:val="31"/>
  </w:num>
  <w:num w:numId="14" w16cid:durableId="956369978">
    <w:abstractNumId w:val="23"/>
  </w:num>
  <w:num w:numId="15" w16cid:durableId="1152411399">
    <w:abstractNumId w:val="27"/>
  </w:num>
  <w:num w:numId="16" w16cid:durableId="211770701">
    <w:abstractNumId w:val="5"/>
  </w:num>
  <w:num w:numId="17" w16cid:durableId="1531265467">
    <w:abstractNumId w:val="6"/>
  </w:num>
  <w:num w:numId="18" w16cid:durableId="1569076195">
    <w:abstractNumId w:val="12"/>
  </w:num>
  <w:num w:numId="19" w16cid:durableId="2141337336">
    <w:abstractNumId w:val="8"/>
    <w:lvlOverride w:ilvl="0">
      <w:startOverride w:val="1"/>
    </w:lvlOverride>
    <w:lvlOverride w:ilvl="1"/>
    <w:lvlOverride w:ilvl="2"/>
    <w:lvlOverride w:ilvl="3"/>
    <w:lvlOverride w:ilvl="4"/>
    <w:lvlOverride w:ilvl="5"/>
    <w:lvlOverride w:ilvl="6"/>
    <w:lvlOverride w:ilvl="7"/>
    <w:lvlOverride w:ilvl="8"/>
  </w:num>
  <w:num w:numId="20" w16cid:durableId="95639720">
    <w:abstractNumId w:val="15"/>
  </w:num>
  <w:num w:numId="21" w16cid:durableId="1918593667">
    <w:abstractNumId w:val="18"/>
  </w:num>
  <w:num w:numId="22" w16cid:durableId="2131430116">
    <w:abstractNumId w:val="8"/>
  </w:num>
  <w:num w:numId="23" w16cid:durableId="629365045">
    <w:abstractNumId w:val="4"/>
  </w:num>
  <w:num w:numId="24" w16cid:durableId="1847357461">
    <w:abstractNumId w:val="16"/>
  </w:num>
  <w:num w:numId="25" w16cid:durableId="248125895">
    <w:abstractNumId w:val="1"/>
  </w:num>
  <w:num w:numId="26" w16cid:durableId="429399999">
    <w:abstractNumId w:val="11"/>
  </w:num>
  <w:num w:numId="27" w16cid:durableId="1790775903">
    <w:abstractNumId w:val="24"/>
  </w:num>
  <w:num w:numId="28" w16cid:durableId="1366950456">
    <w:abstractNumId w:val="26"/>
  </w:num>
  <w:num w:numId="29" w16cid:durableId="1564679601">
    <w:abstractNumId w:val="20"/>
  </w:num>
  <w:num w:numId="30" w16cid:durableId="458258105">
    <w:abstractNumId w:val="28"/>
  </w:num>
  <w:num w:numId="31" w16cid:durableId="1402484862">
    <w:abstractNumId w:val="7"/>
  </w:num>
  <w:num w:numId="32" w16cid:durableId="345903846">
    <w:abstractNumId w:val="13"/>
  </w:num>
  <w:num w:numId="33" w16cid:durableId="1915579315">
    <w:abstractNumId w:val="10"/>
  </w:num>
  <w:num w:numId="34" w16cid:durableId="1058435513">
    <w:abstractNumId w:val="9"/>
  </w:num>
  <w:num w:numId="35" w16cid:durableId="1826510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54"/>
    <w:rsid w:val="00001906"/>
    <w:rsid w:val="00012955"/>
    <w:rsid w:val="00031F1D"/>
    <w:rsid w:val="00031FA5"/>
    <w:rsid w:val="0003635D"/>
    <w:rsid w:val="00036C6C"/>
    <w:rsid w:val="00042564"/>
    <w:rsid w:val="0005451A"/>
    <w:rsid w:val="000561CC"/>
    <w:rsid w:val="00056B1D"/>
    <w:rsid w:val="000578CB"/>
    <w:rsid w:val="00067361"/>
    <w:rsid w:val="000763D5"/>
    <w:rsid w:val="0007688B"/>
    <w:rsid w:val="00081571"/>
    <w:rsid w:val="00084809"/>
    <w:rsid w:val="000A3026"/>
    <w:rsid w:val="000A3109"/>
    <w:rsid w:val="000B0A3E"/>
    <w:rsid w:val="000B5367"/>
    <w:rsid w:val="000C2C04"/>
    <w:rsid w:val="000C3C5C"/>
    <w:rsid w:val="000D2AD0"/>
    <w:rsid w:val="000D2CDB"/>
    <w:rsid w:val="000E044C"/>
    <w:rsid w:val="000E2C4A"/>
    <w:rsid w:val="000E42CE"/>
    <w:rsid w:val="000F0153"/>
    <w:rsid w:val="000F7301"/>
    <w:rsid w:val="00100943"/>
    <w:rsid w:val="00110454"/>
    <w:rsid w:val="0011069A"/>
    <w:rsid w:val="0011414E"/>
    <w:rsid w:val="00115906"/>
    <w:rsid w:val="00115B36"/>
    <w:rsid w:val="00116E4F"/>
    <w:rsid w:val="001225CB"/>
    <w:rsid w:val="00142EE9"/>
    <w:rsid w:val="0014513C"/>
    <w:rsid w:val="001462A3"/>
    <w:rsid w:val="00152509"/>
    <w:rsid w:val="00152D3A"/>
    <w:rsid w:val="00181A52"/>
    <w:rsid w:val="001B61E1"/>
    <w:rsid w:val="001D4FCA"/>
    <w:rsid w:val="001E4C78"/>
    <w:rsid w:val="001F0271"/>
    <w:rsid w:val="001F7F34"/>
    <w:rsid w:val="0020010F"/>
    <w:rsid w:val="00200A0C"/>
    <w:rsid w:val="0020164E"/>
    <w:rsid w:val="00204625"/>
    <w:rsid w:val="00206CE5"/>
    <w:rsid w:val="002077F6"/>
    <w:rsid w:val="00224E78"/>
    <w:rsid w:val="00226A0F"/>
    <w:rsid w:val="00234433"/>
    <w:rsid w:val="0023711D"/>
    <w:rsid w:val="00237C41"/>
    <w:rsid w:val="0024162D"/>
    <w:rsid w:val="00262A77"/>
    <w:rsid w:val="00280757"/>
    <w:rsid w:val="0028152B"/>
    <w:rsid w:val="00285D54"/>
    <w:rsid w:val="00293EA9"/>
    <w:rsid w:val="002A4F6A"/>
    <w:rsid w:val="002A72BE"/>
    <w:rsid w:val="002B635A"/>
    <w:rsid w:val="002C4B60"/>
    <w:rsid w:val="002C59A3"/>
    <w:rsid w:val="002C5AEA"/>
    <w:rsid w:val="002C70A8"/>
    <w:rsid w:val="002C73CF"/>
    <w:rsid w:val="002D567C"/>
    <w:rsid w:val="002D74A9"/>
    <w:rsid w:val="002E56E6"/>
    <w:rsid w:val="002E7599"/>
    <w:rsid w:val="002F4B23"/>
    <w:rsid w:val="002F4E71"/>
    <w:rsid w:val="002F72A4"/>
    <w:rsid w:val="00314327"/>
    <w:rsid w:val="00316817"/>
    <w:rsid w:val="00317A8B"/>
    <w:rsid w:val="003226F3"/>
    <w:rsid w:val="00323833"/>
    <w:rsid w:val="00324D51"/>
    <w:rsid w:val="003330F1"/>
    <w:rsid w:val="00340466"/>
    <w:rsid w:val="00344F5F"/>
    <w:rsid w:val="0034506B"/>
    <w:rsid w:val="003525E2"/>
    <w:rsid w:val="00360974"/>
    <w:rsid w:val="00361DE6"/>
    <w:rsid w:val="003629E4"/>
    <w:rsid w:val="003775A3"/>
    <w:rsid w:val="00387924"/>
    <w:rsid w:val="00387D2D"/>
    <w:rsid w:val="00391641"/>
    <w:rsid w:val="00395210"/>
    <w:rsid w:val="0039526D"/>
    <w:rsid w:val="003A0F4A"/>
    <w:rsid w:val="003A1E7D"/>
    <w:rsid w:val="003A450B"/>
    <w:rsid w:val="003C6EC9"/>
    <w:rsid w:val="003D295E"/>
    <w:rsid w:val="003D2C47"/>
    <w:rsid w:val="003F753E"/>
    <w:rsid w:val="00400F58"/>
    <w:rsid w:val="00417538"/>
    <w:rsid w:val="004307B6"/>
    <w:rsid w:val="00440A76"/>
    <w:rsid w:val="004428EB"/>
    <w:rsid w:val="00463F92"/>
    <w:rsid w:val="00465708"/>
    <w:rsid w:val="00474133"/>
    <w:rsid w:val="00480821"/>
    <w:rsid w:val="00495037"/>
    <w:rsid w:val="004A6F52"/>
    <w:rsid w:val="004B324F"/>
    <w:rsid w:val="004B462C"/>
    <w:rsid w:val="004C10CA"/>
    <w:rsid w:val="004C2C92"/>
    <w:rsid w:val="004C58A0"/>
    <w:rsid w:val="004E122F"/>
    <w:rsid w:val="004E1F91"/>
    <w:rsid w:val="004E7E9E"/>
    <w:rsid w:val="005051CE"/>
    <w:rsid w:val="0051402F"/>
    <w:rsid w:val="00520A3B"/>
    <w:rsid w:val="00520B03"/>
    <w:rsid w:val="0052501F"/>
    <w:rsid w:val="0053353E"/>
    <w:rsid w:val="00533AF6"/>
    <w:rsid w:val="00534143"/>
    <w:rsid w:val="00550937"/>
    <w:rsid w:val="00576DF0"/>
    <w:rsid w:val="00582446"/>
    <w:rsid w:val="0059395B"/>
    <w:rsid w:val="005A1670"/>
    <w:rsid w:val="005A211E"/>
    <w:rsid w:val="005A4638"/>
    <w:rsid w:val="005B4207"/>
    <w:rsid w:val="005B7A26"/>
    <w:rsid w:val="005D039B"/>
    <w:rsid w:val="005D1D14"/>
    <w:rsid w:val="005E0F75"/>
    <w:rsid w:val="00606A09"/>
    <w:rsid w:val="00606C08"/>
    <w:rsid w:val="00611D06"/>
    <w:rsid w:val="0061399F"/>
    <w:rsid w:val="00614524"/>
    <w:rsid w:val="00622054"/>
    <w:rsid w:val="00622342"/>
    <w:rsid w:val="0062347C"/>
    <w:rsid w:val="00626E0D"/>
    <w:rsid w:val="00630F19"/>
    <w:rsid w:val="006316F5"/>
    <w:rsid w:val="00633A23"/>
    <w:rsid w:val="00636093"/>
    <w:rsid w:val="00642778"/>
    <w:rsid w:val="00655E30"/>
    <w:rsid w:val="0066147B"/>
    <w:rsid w:val="0068001D"/>
    <w:rsid w:val="006A0574"/>
    <w:rsid w:val="006A3889"/>
    <w:rsid w:val="006A3FBB"/>
    <w:rsid w:val="006B644B"/>
    <w:rsid w:val="006C3A61"/>
    <w:rsid w:val="006C5652"/>
    <w:rsid w:val="006D0D8C"/>
    <w:rsid w:val="006D3C9C"/>
    <w:rsid w:val="006E1C56"/>
    <w:rsid w:val="006E435B"/>
    <w:rsid w:val="00700552"/>
    <w:rsid w:val="007023E0"/>
    <w:rsid w:val="00703638"/>
    <w:rsid w:val="00703697"/>
    <w:rsid w:val="00707CC6"/>
    <w:rsid w:val="00710968"/>
    <w:rsid w:val="00714264"/>
    <w:rsid w:val="00714608"/>
    <w:rsid w:val="00721C2C"/>
    <w:rsid w:val="00722318"/>
    <w:rsid w:val="00734C0D"/>
    <w:rsid w:val="00736167"/>
    <w:rsid w:val="00740136"/>
    <w:rsid w:val="00750173"/>
    <w:rsid w:val="00750CBF"/>
    <w:rsid w:val="00755B9E"/>
    <w:rsid w:val="007628A3"/>
    <w:rsid w:val="00770E70"/>
    <w:rsid w:val="00772E16"/>
    <w:rsid w:val="00781A84"/>
    <w:rsid w:val="00787316"/>
    <w:rsid w:val="007A4970"/>
    <w:rsid w:val="007A4B3E"/>
    <w:rsid w:val="007C54A1"/>
    <w:rsid w:val="007C5919"/>
    <w:rsid w:val="007D636A"/>
    <w:rsid w:val="0083015B"/>
    <w:rsid w:val="00833AFD"/>
    <w:rsid w:val="0084041D"/>
    <w:rsid w:val="00841482"/>
    <w:rsid w:val="008473DD"/>
    <w:rsid w:val="0085171B"/>
    <w:rsid w:val="008550A9"/>
    <w:rsid w:val="00871122"/>
    <w:rsid w:val="008717BB"/>
    <w:rsid w:val="0087791A"/>
    <w:rsid w:val="008830D9"/>
    <w:rsid w:val="00883FF9"/>
    <w:rsid w:val="00894625"/>
    <w:rsid w:val="00895D07"/>
    <w:rsid w:val="0089772E"/>
    <w:rsid w:val="00897E78"/>
    <w:rsid w:val="008A01A9"/>
    <w:rsid w:val="008A0D97"/>
    <w:rsid w:val="008A48B8"/>
    <w:rsid w:val="008B1350"/>
    <w:rsid w:val="008B162C"/>
    <w:rsid w:val="008B1A6D"/>
    <w:rsid w:val="008B3DC6"/>
    <w:rsid w:val="008C0E88"/>
    <w:rsid w:val="008D207E"/>
    <w:rsid w:val="008D3780"/>
    <w:rsid w:val="008D419B"/>
    <w:rsid w:val="008D484B"/>
    <w:rsid w:val="008E3E51"/>
    <w:rsid w:val="00905EAB"/>
    <w:rsid w:val="00923830"/>
    <w:rsid w:val="00926AD2"/>
    <w:rsid w:val="0092706D"/>
    <w:rsid w:val="00933E70"/>
    <w:rsid w:val="0093400A"/>
    <w:rsid w:val="00943A0E"/>
    <w:rsid w:val="00950146"/>
    <w:rsid w:val="009549C2"/>
    <w:rsid w:val="009654B9"/>
    <w:rsid w:val="009669CB"/>
    <w:rsid w:val="0098258E"/>
    <w:rsid w:val="00994E25"/>
    <w:rsid w:val="009A24E2"/>
    <w:rsid w:val="009A258A"/>
    <w:rsid w:val="009A3389"/>
    <w:rsid w:val="009A7284"/>
    <w:rsid w:val="009B3445"/>
    <w:rsid w:val="009E5EEE"/>
    <w:rsid w:val="009F750C"/>
    <w:rsid w:val="00A00FC6"/>
    <w:rsid w:val="00A03657"/>
    <w:rsid w:val="00A07245"/>
    <w:rsid w:val="00A168CF"/>
    <w:rsid w:val="00A25CEC"/>
    <w:rsid w:val="00A33123"/>
    <w:rsid w:val="00A3688E"/>
    <w:rsid w:val="00A41CAA"/>
    <w:rsid w:val="00A50D49"/>
    <w:rsid w:val="00A54380"/>
    <w:rsid w:val="00A844BD"/>
    <w:rsid w:val="00A85378"/>
    <w:rsid w:val="00AB24AD"/>
    <w:rsid w:val="00AC0A6A"/>
    <w:rsid w:val="00AC5D17"/>
    <w:rsid w:val="00AD1675"/>
    <w:rsid w:val="00AF383F"/>
    <w:rsid w:val="00AF50DD"/>
    <w:rsid w:val="00B1042F"/>
    <w:rsid w:val="00B30C0F"/>
    <w:rsid w:val="00B3140F"/>
    <w:rsid w:val="00B35E37"/>
    <w:rsid w:val="00B405C8"/>
    <w:rsid w:val="00B53801"/>
    <w:rsid w:val="00B70C9F"/>
    <w:rsid w:val="00B750DF"/>
    <w:rsid w:val="00B86CF7"/>
    <w:rsid w:val="00B93AD7"/>
    <w:rsid w:val="00B9486A"/>
    <w:rsid w:val="00B954C5"/>
    <w:rsid w:val="00BA2DC9"/>
    <w:rsid w:val="00BA630F"/>
    <w:rsid w:val="00BC1B13"/>
    <w:rsid w:val="00BC45DA"/>
    <w:rsid w:val="00BC61A3"/>
    <w:rsid w:val="00C0169F"/>
    <w:rsid w:val="00C04A63"/>
    <w:rsid w:val="00C102A4"/>
    <w:rsid w:val="00C16381"/>
    <w:rsid w:val="00C31A2E"/>
    <w:rsid w:val="00C326BA"/>
    <w:rsid w:val="00C33CE5"/>
    <w:rsid w:val="00C35499"/>
    <w:rsid w:val="00C471F9"/>
    <w:rsid w:val="00C51562"/>
    <w:rsid w:val="00C56642"/>
    <w:rsid w:val="00C609A3"/>
    <w:rsid w:val="00C65591"/>
    <w:rsid w:val="00C74FC9"/>
    <w:rsid w:val="00C83E2A"/>
    <w:rsid w:val="00C947F9"/>
    <w:rsid w:val="00C9761D"/>
    <w:rsid w:val="00CA286B"/>
    <w:rsid w:val="00CA6850"/>
    <w:rsid w:val="00CB6562"/>
    <w:rsid w:val="00CB7E14"/>
    <w:rsid w:val="00CC4865"/>
    <w:rsid w:val="00CC4EF2"/>
    <w:rsid w:val="00CC6DF5"/>
    <w:rsid w:val="00CD3055"/>
    <w:rsid w:val="00CE18B1"/>
    <w:rsid w:val="00CF31F6"/>
    <w:rsid w:val="00CF5FC1"/>
    <w:rsid w:val="00D0487E"/>
    <w:rsid w:val="00D066FB"/>
    <w:rsid w:val="00D06F83"/>
    <w:rsid w:val="00D106CD"/>
    <w:rsid w:val="00D12EC6"/>
    <w:rsid w:val="00D20101"/>
    <w:rsid w:val="00D32053"/>
    <w:rsid w:val="00D3281D"/>
    <w:rsid w:val="00D33A34"/>
    <w:rsid w:val="00D34990"/>
    <w:rsid w:val="00D354F6"/>
    <w:rsid w:val="00D370DC"/>
    <w:rsid w:val="00D441B9"/>
    <w:rsid w:val="00D662C3"/>
    <w:rsid w:val="00D66EDC"/>
    <w:rsid w:val="00D73D44"/>
    <w:rsid w:val="00D773A9"/>
    <w:rsid w:val="00D821BE"/>
    <w:rsid w:val="00D84693"/>
    <w:rsid w:val="00D84E3E"/>
    <w:rsid w:val="00D9149D"/>
    <w:rsid w:val="00D9392C"/>
    <w:rsid w:val="00DA74D2"/>
    <w:rsid w:val="00DB283B"/>
    <w:rsid w:val="00DD3F52"/>
    <w:rsid w:val="00DF113B"/>
    <w:rsid w:val="00E04193"/>
    <w:rsid w:val="00E07296"/>
    <w:rsid w:val="00E178D8"/>
    <w:rsid w:val="00E32ED9"/>
    <w:rsid w:val="00E357F4"/>
    <w:rsid w:val="00E36696"/>
    <w:rsid w:val="00E50C71"/>
    <w:rsid w:val="00E557EB"/>
    <w:rsid w:val="00E77761"/>
    <w:rsid w:val="00E8513C"/>
    <w:rsid w:val="00E86CD5"/>
    <w:rsid w:val="00EA129F"/>
    <w:rsid w:val="00EA304F"/>
    <w:rsid w:val="00EA7BF6"/>
    <w:rsid w:val="00EB44D4"/>
    <w:rsid w:val="00EB65F5"/>
    <w:rsid w:val="00EB6B08"/>
    <w:rsid w:val="00EC3E88"/>
    <w:rsid w:val="00ED2B50"/>
    <w:rsid w:val="00EE2564"/>
    <w:rsid w:val="00EE7F60"/>
    <w:rsid w:val="00EE7FC0"/>
    <w:rsid w:val="00EF100E"/>
    <w:rsid w:val="00EF1954"/>
    <w:rsid w:val="00EF5514"/>
    <w:rsid w:val="00F01339"/>
    <w:rsid w:val="00F0664C"/>
    <w:rsid w:val="00F128F7"/>
    <w:rsid w:val="00F20A26"/>
    <w:rsid w:val="00F21DD0"/>
    <w:rsid w:val="00F22711"/>
    <w:rsid w:val="00F31EE2"/>
    <w:rsid w:val="00F35ACF"/>
    <w:rsid w:val="00F40F3E"/>
    <w:rsid w:val="00F4228F"/>
    <w:rsid w:val="00F468BE"/>
    <w:rsid w:val="00F514B3"/>
    <w:rsid w:val="00F578CE"/>
    <w:rsid w:val="00F60DD0"/>
    <w:rsid w:val="00F7153E"/>
    <w:rsid w:val="00F73EF9"/>
    <w:rsid w:val="00F74E5B"/>
    <w:rsid w:val="00F82ACB"/>
    <w:rsid w:val="00F86054"/>
    <w:rsid w:val="00F95D51"/>
    <w:rsid w:val="00F964CE"/>
    <w:rsid w:val="00F9768B"/>
    <w:rsid w:val="00FA1584"/>
    <w:rsid w:val="00FC3D73"/>
    <w:rsid w:val="00FC3DDE"/>
    <w:rsid w:val="00FE0C82"/>
    <w:rsid w:val="00FF184C"/>
    <w:rsid w:val="00FF32A4"/>
    <w:rsid w:val="00FF4471"/>
    <w:rsid w:val="00FF7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961CB"/>
  <w15:chartTrackingRefBased/>
  <w15:docId w15:val="{2DA62D4F-99F3-4C17-A826-7F5861D1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136"/>
  </w:style>
  <w:style w:type="paragraph" w:styleId="Heading3">
    <w:name w:val="heading 3"/>
    <w:basedOn w:val="Normal"/>
    <w:link w:val="Heading3Char"/>
    <w:uiPriority w:val="9"/>
    <w:qFormat/>
    <w:rsid w:val="00CA286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34"/>
    <w:qFormat/>
    <w:rsid w:val="00F86054"/>
    <w:pPr>
      <w:ind w:left="720"/>
      <w:contextualSpacing/>
    </w:pPr>
  </w:style>
  <w:style w:type="character" w:styleId="Hyperlink">
    <w:name w:val="Hyperlink"/>
    <w:basedOn w:val="DefaultParagraphFont"/>
    <w:uiPriority w:val="99"/>
    <w:unhideWhenUsed/>
    <w:rsid w:val="00CA286B"/>
    <w:rPr>
      <w:color w:val="0563C1" w:themeColor="hyperlink"/>
      <w:u w:val="single"/>
    </w:rPr>
  </w:style>
  <w:style w:type="character" w:styleId="UnresolvedMention">
    <w:name w:val="Unresolved Mention"/>
    <w:basedOn w:val="DefaultParagraphFont"/>
    <w:uiPriority w:val="99"/>
    <w:semiHidden/>
    <w:unhideWhenUsed/>
    <w:rsid w:val="00CA286B"/>
    <w:rPr>
      <w:color w:val="605E5C"/>
      <w:shd w:val="clear" w:color="auto" w:fill="E1DFDD"/>
    </w:rPr>
  </w:style>
  <w:style w:type="paragraph" w:styleId="NormalWeb">
    <w:name w:val="Normal (Web)"/>
    <w:basedOn w:val="Normal"/>
    <w:uiPriority w:val="99"/>
    <w:semiHidden/>
    <w:unhideWhenUsed/>
    <w:rsid w:val="00CA28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A286B"/>
    <w:rPr>
      <w:color w:val="954F72" w:themeColor="followedHyperlink"/>
      <w:u w:val="single"/>
    </w:rPr>
  </w:style>
  <w:style w:type="character" w:styleId="Emphasis">
    <w:name w:val="Emphasis"/>
    <w:basedOn w:val="DefaultParagraphFont"/>
    <w:uiPriority w:val="20"/>
    <w:qFormat/>
    <w:rsid w:val="00CA286B"/>
    <w:rPr>
      <w:i/>
      <w:iCs/>
    </w:rPr>
  </w:style>
  <w:style w:type="character" w:customStyle="1" w:styleId="Heading3Char">
    <w:name w:val="Heading 3 Char"/>
    <w:basedOn w:val="DefaultParagraphFont"/>
    <w:link w:val="Heading3"/>
    <w:uiPriority w:val="9"/>
    <w:rsid w:val="00CA286B"/>
    <w:rPr>
      <w:rFonts w:ascii="Times New Roman" w:eastAsia="Times New Roman" w:hAnsi="Times New Roman" w:cs="Times New Roman"/>
      <w:b/>
      <w:bCs/>
      <w:sz w:val="27"/>
      <w:szCs w:val="27"/>
      <w:lang w:eastAsia="en-GB"/>
    </w:rPr>
  </w:style>
  <w:style w:type="character" w:styleId="CommentReference">
    <w:name w:val="annotation reference"/>
    <w:basedOn w:val="DefaultParagraphFont"/>
    <w:uiPriority w:val="99"/>
    <w:semiHidden/>
    <w:unhideWhenUsed/>
    <w:rsid w:val="000D2AD0"/>
    <w:rPr>
      <w:sz w:val="16"/>
      <w:szCs w:val="16"/>
    </w:rPr>
  </w:style>
  <w:style w:type="paragraph" w:styleId="CommentText">
    <w:name w:val="annotation text"/>
    <w:basedOn w:val="Normal"/>
    <w:link w:val="CommentTextChar"/>
    <w:uiPriority w:val="99"/>
    <w:unhideWhenUsed/>
    <w:rsid w:val="000D2AD0"/>
    <w:pPr>
      <w:spacing w:line="240" w:lineRule="auto"/>
    </w:pPr>
    <w:rPr>
      <w:sz w:val="20"/>
      <w:szCs w:val="20"/>
    </w:rPr>
  </w:style>
  <w:style w:type="character" w:customStyle="1" w:styleId="CommentTextChar">
    <w:name w:val="Comment Text Char"/>
    <w:basedOn w:val="DefaultParagraphFont"/>
    <w:link w:val="CommentText"/>
    <w:uiPriority w:val="99"/>
    <w:rsid w:val="000D2AD0"/>
    <w:rPr>
      <w:sz w:val="20"/>
      <w:szCs w:val="20"/>
    </w:rPr>
  </w:style>
  <w:style w:type="paragraph" w:styleId="CommentSubject">
    <w:name w:val="annotation subject"/>
    <w:basedOn w:val="CommentText"/>
    <w:next w:val="CommentText"/>
    <w:link w:val="CommentSubjectChar"/>
    <w:uiPriority w:val="99"/>
    <w:semiHidden/>
    <w:unhideWhenUsed/>
    <w:rsid w:val="000D2AD0"/>
    <w:rPr>
      <w:b/>
      <w:bCs/>
    </w:rPr>
  </w:style>
  <w:style w:type="character" w:customStyle="1" w:styleId="CommentSubjectChar">
    <w:name w:val="Comment Subject Char"/>
    <w:basedOn w:val="CommentTextChar"/>
    <w:link w:val="CommentSubject"/>
    <w:uiPriority w:val="99"/>
    <w:semiHidden/>
    <w:rsid w:val="000D2AD0"/>
    <w:rPr>
      <w:b/>
      <w:bCs/>
      <w:sz w:val="20"/>
      <w:szCs w:val="20"/>
    </w:rPr>
  </w:style>
  <w:style w:type="paragraph" w:styleId="Header">
    <w:name w:val="header"/>
    <w:basedOn w:val="Normal"/>
    <w:link w:val="HeaderChar"/>
    <w:uiPriority w:val="99"/>
    <w:unhideWhenUsed/>
    <w:rsid w:val="00F60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DD0"/>
  </w:style>
  <w:style w:type="paragraph" w:styleId="Footer">
    <w:name w:val="footer"/>
    <w:basedOn w:val="Normal"/>
    <w:link w:val="FooterChar"/>
    <w:uiPriority w:val="99"/>
    <w:unhideWhenUsed/>
    <w:rsid w:val="00F60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DD0"/>
  </w:style>
  <w:style w:type="paragraph" w:customStyle="1" w:styleId="Default">
    <w:name w:val="Default"/>
    <w:basedOn w:val="Normal"/>
    <w:uiPriority w:val="99"/>
    <w:rsid w:val="00CC6DF5"/>
    <w:pPr>
      <w:autoSpaceDE w:val="0"/>
      <w:autoSpaceDN w:val="0"/>
      <w:spacing w:after="0" w:line="240" w:lineRule="auto"/>
    </w:pPr>
    <w:rPr>
      <w:rFonts w:ascii="Arial" w:hAnsi="Arial" w:cs="Arial"/>
      <w:color w:val="000000"/>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400F58"/>
  </w:style>
  <w:style w:type="table" w:styleId="TableGrid">
    <w:name w:val="Table Grid"/>
    <w:basedOn w:val="TableNormal"/>
    <w:uiPriority w:val="39"/>
    <w:rsid w:val="00AF383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304340">
      <w:bodyDiv w:val="1"/>
      <w:marLeft w:val="0"/>
      <w:marRight w:val="0"/>
      <w:marTop w:val="0"/>
      <w:marBottom w:val="0"/>
      <w:divBdr>
        <w:top w:val="none" w:sz="0" w:space="0" w:color="auto"/>
        <w:left w:val="none" w:sz="0" w:space="0" w:color="auto"/>
        <w:bottom w:val="none" w:sz="0" w:space="0" w:color="auto"/>
        <w:right w:val="none" w:sz="0" w:space="0" w:color="auto"/>
      </w:divBdr>
    </w:div>
    <w:div w:id="686521946">
      <w:bodyDiv w:val="1"/>
      <w:marLeft w:val="0"/>
      <w:marRight w:val="0"/>
      <w:marTop w:val="0"/>
      <w:marBottom w:val="0"/>
      <w:divBdr>
        <w:top w:val="none" w:sz="0" w:space="0" w:color="auto"/>
        <w:left w:val="none" w:sz="0" w:space="0" w:color="auto"/>
        <w:bottom w:val="none" w:sz="0" w:space="0" w:color="auto"/>
        <w:right w:val="none" w:sz="0" w:space="0" w:color="auto"/>
      </w:divBdr>
    </w:div>
    <w:div w:id="727145518">
      <w:bodyDiv w:val="1"/>
      <w:marLeft w:val="0"/>
      <w:marRight w:val="0"/>
      <w:marTop w:val="0"/>
      <w:marBottom w:val="0"/>
      <w:divBdr>
        <w:top w:val="none" w:sz="0" w:space="0" w:color="auto"/>
        <w:left w:val="none" w:sz="0" w:space="0" w:color="auto"/>
        <w:bottom w:val="none" w:sz="0" w:space="0" w:color="auto"/>
        <w:right w:val="none" w:sz="0" w:space="0" w:color="auto"/>
      </w:divBdr>
    </w:div>
    <w:div w:id="727261305">
      <w:bodyDiv w:val="1"/>
      <w:marLeft w:val="0"/>
      <w:marRight w:val="0"/>
      <w:marTop w:val="0"/>
      <w:marBottom w:val="0"/>
      <w:divBdr>
        <w:top w:val="none" w:sz="0" w:space="0" w:color="auto"/>
        <w:left w:val="none" w:sz="0" w:space="0" w:color="auto"/>
        <w:bottom w:val="none" w:sz="0" w:space="0" w:color="auto"/>
        <w:right w:val="none" w:sz="0" w:space="0" w:color="auto"/>
      </w:divBdr>
    </w:div>
    <w:div w:id="1216894935">
      <w:bodyDiv w:val="1"/>
      <w:marLeft w:val="0"/>
      <w:marRight w:val="0"/>
      <w:marTop w:val="0"/>
      <w:marBottom w:val="0"/>
      <w:divBdr>
        <w:top w:val="none" w:sz="0" w:space="0" w:color="auto"/>
        <w:left w:val="none" w:sz="0" w:space="0" w:color="auto"/>
        <w:bottom w:val="none" w:sz="0" w:space="0" w:color="auto"/>
        <w:right w:val="none" w:sz="0" w:space="0" w:color="auto"/>
      </w:divBdr>
    </w:div>
    <w:div w:id="1563441376">
      <w:bodyDiv w:val="1"/>
      <w:marLeft w:val="0"/>
      <w:marRight w:val="0"/>
      <w:marTop w:val="0"/>
      <w:marBottom w:val="0"/>
      <w:divBdr>
        <w:top w:val="none" w:sz="0" w:space="0" w:color="auto"/>
        <w:left w:val="none" w:sz="0" w:space="0" w:color="auto"/>
        <w:bottom w:val="none" w:sz="0" w:space="0" w:color="auto"/>
        <w:right w:val="none" w:sz="0" w:space="0" w:color="auto"/>
      </w:divBdr>
    </w:div>
    <w:div w:id="1699768310">
      <w:bodyDiv w:val="1"/>
      <w:marLeft w:val="0"/>
      <w:marRight w:val="0"/>
      <w:marTop w:val="0"/>
      <w:marBottom w:val="0"/>
      <w:divBdr>
        <w:top w:val="none" w:sz="0" w:space="0" w:color="auto"/>
        <w:left w:val="none" w:sz="0" w:space="0" w:color="auto"/>
        <w:bottom w:val="none" w:sz="0" w:space="0" w:color="auto"/>
        <w:right w:val="none" w:sz="0" w:space="0" w:color="auto"/>
      </w:divBdr>
    </w:div>
    <w:div w:id="1731886065">
      <w:bodyDiv w:val="1"/>
      <w:marLeft w:val="0"/>
      <w:marRight w:val="0"/>
      <w:marTop w:val="0"/>
      <w:marBottom w:val="0"/>
      <w:divBdr>
        <w:top w:val="none" w:sz="0" w:space="0" w:color="auto"/>
        <w:left w:val="none" w:sz="0" w:space="0" w:color="auto"/>
        <w:bottom w:val="none" w:sz="0" w:space="0" w:color="auto"/>
        <w:right w:val="none" w:sz="0" w:space="0" w:color="auto"/>
      </w:divBdr>
      <w:divsChild>
        <w:div w:id="7686565">
          <w:marLeft w:val="0"/>
          <w:marRight w:val="0"/>
          <w:marTop w:val="0"/>
          <w:marBottom w:val="0"/>
          <w:divBdr>
            <w:top w:val="none" w:sz="0" w:space="0" w:color="auto"/>
            <w:left w:val="none" w:sz="0" w:space="0" w:color="auto"/>
            <w:bottom w:val="none" w:sz="0" w:space="0" w:color="auto"/>
            <w:right w:val="none" w:sz="0" w:space="0" w:color="auto"/>
          </w:divBdr>
        </w:div>
        <w:div w:id="1555658570">
          <w:marLeft w:val="0"/>
          <w:marRight w:val="0"/>
          <w:marTop w:val="0"/>
          <w:marBottom w:val="0"/>
          <w:divBdr>
            <w:top w:val="none" w:sz="0" w:space="0" w:color="auto"/>
            <w:left w:val="none" w:sz="0" w:space="0" w:color="auto"/>
            <w:bottom w:val="none" w:sz="0" w:space="0" w:color="auto"/>
            <w:right w:val="none" w:sz="0" w:space="0" w:color="auto"/>
          </w:divBdr>
        </w:div>
        <w:div w:id="1802459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inedupcarederbyshire.co.uk/download/patient-and-public-involvement-assessment-and-planning-form/" TargetMode="External"/><Relationship Id="rId13" Type="http://schemas.openxmlformats.org/officeDocument/2006/relationships/hyperlink" Target="mailto:ddicb.engagement@nhs.ne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inedupcarederbyshire.co.uk/download/patient-and-public-involvement-assessment-and-planning-for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inedupcarederbyshire.co.uk/download/health-overview-and-scrutiny-committee-hosc-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dicb.engagement@nhs.net" TargetMode="External"/><Relationship Id="rId5" Type="http://schemas.openxmlformats.org/officeDocument/2006/relationships/webSettings" Target="webSettings.xml"/><Relationship Id="rId15" Type="http://schemas.openxmlformats.org/officeDocument/2006/relationships/hyperlink" Target="https://joinedupcarederbyshire.co.uk/download/patient-and-public-involvement-assessment-and-planning-form/" TargetMode="External"/><Relationship Id="rId10" Type="http://schemas.openxmlformats.org/officeDocument/2006/relationships/hyperlink" Target="https://www.england.nhs.uk/wp-content/uploads/2024/03/PRN01035-ii-pcn-des-contract-specification-2024-25-pcn-requirements-and-entitlements-April-2024-version-2.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oinedupcarederbyshire.co.uk/download/patient-and-public-involvement-assessment-and-planning-for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E638F-7BBA-41BB-8B24-C88906E17625}">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67</TotalTime>
  <Pages>4</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NECS NHS</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Karen (NHS DERBY AND DERBYSHIRE ICB - 15M)</dc:creator>
  <cp:keywords/>
  <dc:description/>
  <cp:lastModifiedBy>STUART, Mark (NHS DERBY AND DERBYSHIRE ICB - 15M)</cp:lastModifiedBy>
  <cp:revision>4</cp:revision>
  <dcterms:created xsi:type="dcterms:W3CDTF">2025-04-02T07:43:00Z</dcterms:created>
  <dcterms:modified xsi:type="dcterms:W3CDTF">2025-04-08T08:57:00Z</dcterms:modified>
</cp:coreProperties>
</file>