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5BE99944"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6E044944" w:rsidR="004C7F76" w:rsidRPr="00DC6860" w:rsidRDefault="00056C5B"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Prevent</w:t>
      </w:r>
      <w:r w:rsidR="00E06E0A">
        <w:rPr>
          <w:rFonts w:eastAsia="Times New Roman" w:cs="Arial"/>
          <w:b/>
          <w:color w:val="365F91" w:themeColor="accent1" w:themeShade="BF"/>
          <w:sz w:val="56"/>
          <w:szCs w:val="56"/>
        </w:rPr>
        <w:t xml:space="preserve"> </w:t>
      </w:r>
      <w:r w:rsidR="00C71FDA">
        <w:rPr>
          <w:rFonts w:eastAsia="Times New Roman" w:cs="Arial"/>
          <w:b/>
          <w:color w:val="365F91" w:themeColor="accent1" w:themeShade="BF"/>
          <w:sz w:val="56"/>
          <w:szCs w:val="56"/>
        </w:rPr>
        <w:t>Policy</w:t>
      </w:r>
    </w:p>
    <w:p w14:paraId="5C9E59CB" w14:textId="44171BEF"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75C5340C" w14:textId="77777777" w:rsidR="00D9264C" w:rsidRDefault="00D9264C" w:rsidP="00704F7D">
      <w:pPr>
        <w:spacing w:line="240" w:lineRule="auto"/>
        <w:jc w:val="center"/>
        <w:rPr>
          <w:rFonts w:eastAsia="Times New Roman" w:cs="Arial"/>
          <w:b/>
          <w:szCs w:val="20"/>
        </w:rPr>
      </w:pPr>
    </w:p>
    <w:p w14:paraId="3DFBD0F7" w14:textId="463C541D" w:rsidR="00C56CF9" w:rsidRDefault="00C56CF9" w:rsidP="00704F7D">
      <w:pPr>
        <w:spacing w:line="240" w:lineRule="auto"/>
        <w:jc w:val="center"/>
        <w:rPr>
          <w:rFonts w:eastAsia="Times New Roman" w:cs="Arial"/>
          <w:b/>
          <w:szCs w:val="20"/>
        </w:rPr>
      </w:pPr>
    </w:p>
    <w:p w14:paraId="3D8FBA22" w14:textId="77777777" w:rsidR="00056C5B" w:rsidRDefault="00056C5B" w:rsidP="00704F7D">
      <w:pPr>
        <w:spacing w:line="240" w:lineRule="auto"/>
        <w:jc w:val="center"/>
        <w:rPr>
          <w:rFonts w:eastAsia="Times New Roman" w:cs="Arial"/>
          <w:b/>
          <w:szCs w:val="20"/>
        </w:rPr>
      </w:pPr>
    </w:p>
    <w:p w14:paraId="49590667" w14:textId="775772C2" w:rsidR="00E06E0A" w:rsidRDefault="00E06E0A" w:rsidP="00704F7D">
      <w:pPr>
        <w:spacing w:line="240" w:lineRule="auto"/>
        <w:jc w:val="center"/>
        <w:rPr>
          <w:rFonts w:eastAsia="Times New Roman" w:cs="Arial"/>
          <w:b/>
          <w:szCs w:val="20"/>
        </w:rPr>
      </w:pPr>
    </w:p>
    <w:p w14:paraId="70DA7868" w14:textId="084A1868" w:rsidR="00E06E0A" w:rsidRDefault="00E06E0A" w:rsidP="00704F7D">
      <w:pPr>
        <w:spacing w:line="240" w:lineRule="auto"/>
        <w:jc w:val="center"/>
        <w:rPr>
          <w:rFonts w:eastAsia="Times New Roman" w:cs="Arial"/>
          <w:b/>
          <w:szCs w:val="20"/>
        </w:rPr>
      </w:pPr>
    </w:p>
    <w:p w14:paraId="0A4E165B" w14:textId="77777777" w:rsidR="00180EB4" w:rsidRDefault="00180EB4"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r w:rsidRPr="00C12E8E">
              <w:rPr>
                <w:b/>
                <w:color w:val="FFFFFF" w:themeColor="background1"/>
              </w:rPr>
              <w:t>KEY POLICY MESSAGES</w:t>
            </w:r>
          </w:p>
        </w:tc>
      </w:tr>
      <w:tr w:rsidR="00C56CF9" w14:paraId="4D1CE509" w14:textId="77777777" w:rsidTr="00C56CF9">
        <w:trPr>
          <w:jc w:val="center"/>
        </w:trPr>
        <w:tc>
          <w:tcPr>
            <w:tcW w:w="9286" w:type="dxa"/>
          </w:tcPr>
          <w:p w14:paraId="7D7A04F3" w14:textId="3E876223" w:rsidR="00C56CF9" w:rsidRPr="002913C6" w:rsidRDefault="00B56EEB" w:rsidP="003F3785">
            <w:pPr>
              <w:pStyle w:val="ListParagraph"/>
              <w:numPr>
                <w:ilvl w:val="0"/>
                <w:numId w:val="8"/>
              </w:numPr>
              <w:spacing w:before="0" w:line="240" w:lineRule="auto"/>
              <w:ind w:left="567" w:hanging="567"/>
            </w:pPr>
            <w:r>
              <w:t>Every member of staff has a role to play in protecting and supporting vulnerable individuals and colleagues who are at risk of radicalisation.</w:t>
            </w:r>
          </w:p>
        </w:tc>
      </w:tr>
      <w:tr w:rsidR="00C56CF9" w14:paraId="479A8BB0" w14:textId="77777777" w:rsidTr="00C56CF9">
        <w:trPr>
          <w:jc w:val="center"/>
        </w:trPr>
        <w:tc>
          <w:tcPr>
            <w:tcW w:w="9286" w:type="dxa"/>
          </w:tcPr>
          <w:p w14:paraId="688B6B26" w14:textId="771F832F" w:rsidR="00C56CF9" w:rsidRPr="002913C6" w:rsidRDefault="00056C5B" w:rsidP="003F3785">
            <w:pPr>
              <w:pStyle w:val="ListParagraph"/>
              <w:numPr>
                <w:ilvl w:val="0"/>
                <w:numId w:val="8"/>
              </w:numPr>
              <w:spacing w:before="0" w:line="240" w:lineRule="auto"/>
              <w:ind w:left="567" w:hanging="567"/>
            </w:pPr>
            <w:r>
              <w:t xml:space="preserve">The ICB </w:t>
            </w:r>
            <w:r>
              <w:rPr>
                <w:rFonts w:cs="Arial"/>
              </w:rPr>
              <w:t>is committed to safeguarding patients and to working within current national legislation and local arrangements</w:t>
            </w:r>
          </w:p>
        </w:tc>
      </w:tr>
      <w:tr w:rsidR="00C56CF9" w14:paraId="50358335" w14:textId="77777777" w:rsidTr="00C56CF9">
        <w:trPr>
          <w:jc w:val="center"/>
        </w:trPr>
        <w:tc>
          <w:tcPr>
            <w:tcW w:w="9286" w:type="dxa"/>
          </w:tcPr>
          <w:p w14:paraId="0EEDB495" w14:textId="6CB562AA" w:rsidR="00C56CF9" w:rsidRPr="002913C6" w:rsidRDefault="00BB6760" w:rsidP="003F3785">
            <w:pPr>
              <w:pStyle w:val="ListParagraph"/>
              <w:numPr>
                <w:ilvl w:val="0"/>
                <w:numId w:val="8"/>
              </w:numPr>
              <w:spacing w:before="0" w:line="240" w:lineRule="auto"/>
              <w:ind w:left="567" w:hanging="567"/>
            </w:pPr>
            <w:r>
              <w:t xml:space="preserve">Ensures all </w:t>
            </w:r>
            <w:r w:rsidR="00056C5B" w:rsidRPr="00056C5B">
              <w:t>employees and managers are aware of Prevent and the statutory ‘Prevent Duty’ as outlined in the NHS Contract for health providers</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6"/>
        <w:gridCol w:w="6095"/>
      </w:tblGrid>
      <w:tr w:rsidR="001D0262" w:rsidRPr="00741EF2" w14:paraId="67509CE5" w14:textId="77777777" w:rsidTr="00073761">
        <w:trPr>
          <w:trHeight w:val="432"/>
        </w:trPr>
        <w:tc>
          <w:tcPr>
            <w:tcW w:w="3276"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7773F611"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056C5B">
              <w:rPr>
                <w:rFonts w:eastAsia="Calibri" w:hAnsi="Calibri" w:cs="Times New Roman"/>
                <w:spacing w:val="-1"/>
                <w:lang w:val="en-US"/>
              </w:rPr>
              <w:t xml:space="preserve">Prevent </w:t>
            </w:r>
            <w:r w:rsidR="00E10224">
              <w:rPr>
                <w:rFonts w:eastAsia="Calibri" w:hAnsi="Calibri" w:cs="Times New Roman"/>
                <w:spacing w:val="-1"/>
                <w:lang w:val="en-US"/>
              </w:rPr>
              <w:t>Policy</w:t>
            </w:r>
          </w:p>
        </w:tc>
      </w:tr>
      <w:tr w:rsidR="001D0262" w:rsidRPr="00741EF2" w14:paraId="64E71358" w14:textId="77777777" w:rsidTr="00073761">
        <w:trPr>
          <w:trHeight w:val="432"/>
        </w:trPr>
        <w:tc>
          <w:tcPr>
            <w:tcW w:w="3276"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13D82A1E"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56C5B">
              <w:rPr>
                <w:rFonts w:eastAsia="Calibri" w:hAnsi="Calibri" w:cs="Times New Roman"/>
                <w:spacing w:val="-1"/>
                <w:lang w:val="en-US"/>
              </w:rPr>
              <w:t>CCG</w:t>
            </w:r>
            <w:r>
              <w:rPr>
                <w:rFonts w:eastAsia="Calibri" w:hAnsi="Calibri" w:cs="Times New Roman"/>
                <w:spacing w:val="-1"/>
                <w:lang w:val="en-US"/>
              </w:rPr>
              <w:t xml:space="preserve">'s </w:t>
            </w:r>
            <w:r w:rsidR="00E06E0A">
              <w:rPr>
                <w:rFonts w:eastAsia="Calibri" w:hAnsi="Calibri" w:cs="Times New Roman"/>
                <w:spacing w:val="-1"/>
                <w:lang w:val="en-US"/>
              </w:rPr>
              <w:t>Adult</w:t>
            </w:r>
            <w:r w:rsidR="00BB6760">
              <w:rPr>
                <w:rFonts w:eastAsia="Calibri" w:hAnsi="Calibri" w:cs="Times New Roman"/>
                <w:spacing w:val="-1"/>
                <w:lang w:val="en-US"/>
              </w:rPr>
              <w:t xml:space="preserve"> </w:t>
            </w:r>
            <w:r w:rsidR="00056C5B">
              <w:rPr>
                <w:rFonts w:eastAsia="Calibri" w:hAnsi="Calibri" w:cs="Times New Roman"/>
                <w:spacing w:val="-1"/>
                <w:lang w:val="en-US"/>
              </w:rPr>
              <w:t>Prevent</w:t>
            </w:r>
            <w:r>
              <w:rPr>
                <w:rFonts w:eastAsia="Calibri" w:hAnsi="Calibri" w:cs="Times New Roman"/>
                <w:spacing w:val="-1"/>
                <w:lang w:val="en-US"/>
              </w:rPr>
              <w:t xml:space="preserve"> Policy</w:t>
            </w:r>
          </w:p>
        </w:tc>
      </w:tr>
      <w:tr w:rsidR="001D0262" w:rsidRPr="00741EF2" w14:paraId="2DA02339" w14:textId="77777777" w:rsidTr="00073761">
        <w:trPr>
          <w:trHeight w:val="432"/>
        </w:trPr>
        <w:tc>
          <w:tcPr>
            <w:tcW w:w="3276"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0DCC3CB4" w14:textId="77777777"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C576C0">
              <w:rPr>
                <w:rFonts w:eastAsia="Arial" w:cs="Arial"/>
                <w:lang w:val="en-US"/>
              </w:rPr>
              <w:t>s</w:t>
            </w:r>
            <w:r>
              <w:rPr>
                <w:rFonts w:eastAsia="Arial" w:cs="Arial"/>
                <w:lang w:val="en-US"/>
              </w:rPr>
              <w:t xml:space="preserve"> </w:t>
            </w:r>
            <w:r w:rsidR="009F52FB">
              <w:rPr>
                <w:rFonts w:eastAsia="Arial" w:cs="Arial"/>
                <w:lang w:val="en-US"/>
              </w:rPr>
              <w:t>0.1</w:t>
            </w:r>
            <w:r>
              <w:rPr>
                <w:rFonts w:eastAsia="Arial" w:cs="Arial"/>
                <w:lang w:val="en-US"/>
              </w:rPr>
              <w:t xml:space="preserve"> </w:t>
            </w:r>
            <w:r w:rsidR="00C576C0">
              <w:rPr>
                <w:rFonts w:eastAsia="Arial" w:cs="Arial"/>
                <w:lang w:val="en-US"/>
              </w:rPr>
              <w:t>and 0.2</w:t>
            </w:r>
            <w:r>
              <w:rPr>
                <w:rFonts w:eastAsia="Arial" w:cs="Arial"/>
                <w:lang w:val="en-US"/>
              </w:rPr>
              <w:t>– initial draf</w:t>
            </w:r>
            <w:r w:rsidR="00E06E0A">
              <w:rPr>
                <w:rFonts w:eastAsia="Arial" w:cs="Arial"/>
                <w:lang w:val="en-US"/>
              </w:rPr>
              <w:t>t</w:t>
            </w:r>
            <w:r w:rsidR="00C576C0">
              <w:rPr>
                <w:rFonts w:eastAsia="Arial" w:cs="Arial"/>
                <w:lang w:val="en-US"/>
              </w:rPr>
              <w:t>s</w:t>
            </w:r>
          </w:p>
          <w:p w14:paraId="52CD6B74" w14:textId="670617E3" w:rsidR="003D1BEE" w:rsidRPr="00741EF2" w:rsidRDefault="003D1BEE" w:rsidP="00C447BD">
            <w:pPr>
              <w:widowControl w:val="0"/>
              <w:spacing w:before="0" w:line="240" w:lineRule="auto"/>
              <w:jc w:val="left"/>
              <w:rPr>
                <w:rFonts w:eastAsia="Arial" w:cs="Arial"/>
                <w:lang w:val="en-US"/>
              </w:rPr>
            </w:pPr>
            <w:r>
              <w:rPr>
                <w:rFonts w:eastAsia="Arial" w:cs="Arial"/>
                <w:lang w:val="en-US"/>
              </w:rPr>
              <w:t>Version 1.0 – final (approved)</w:t>
            </w:r>
          </w:p>
        </w:tc>
      </w:tr>
      <w:tr w:rsidR="001D0262" w:rsidRPr="00741EF2" w14:paraId="3B0D50E2" w14:textId="77777777" w:rsidTr="00073761">
        <w:trPr>
          <w:trHeight w:val="432"/>
        </w:trPr>
        <w:tc>
          <w:tcPr>
            <w:tcW w:w="3276"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D6E554B" w:rsidR="001D0262" w:rsidRPr="00741EF2" w:rsidRDefault="00C576C0" w:rsidP="00C447BD">
            <w:pPr>
              <w:widowControl w:val="0"/>
              <w:spacing w:before="0" w:line="240" w:lineRule="auto"/>
              <w:jc w:val="left"/>
              <w:rPr>
                <w:rFonts w:eastAsia="Arial" w:cs="Arial"/>
                <w:lang w:val="en-US"/>
              </w:rPr>
            </w:pPr>
            <w:r>
              <w:rPr>
                <w:rFonts w:eastAsia="Arial" w:cs="Arial"/>
                <w:lang w:val="en-US"/>
              </w:rPr>
              <w:t>None</w:t>
            </w:r>
          </w:p>
        </w:tc>
      </w:tr>
      <w:tr w:rsidR="001D0262" w:rsidRPr="00741EF2" w14:paraId="24FF7BF4" w14:textId="77777777" w:rsidTr="00073761">
        <w:trPr>
          <w:trHeight w:val="432"/>
        </w:trPr>
        <w:tc>
          <w:tcPr>
            <w:tcW w:w="3276"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3F24245D"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w:t>
            </w:r>
          </w:p>
        </w:tc>
      </w:tr>
      <w:tr w:rsidR="001D0262" w:rsidRPr="00741EF2" w14:paraId="30E025D6" w14:textId="77777777" w:rsidTr="00073761">
        <w:trPr>
          <w:trHeight w:val="432"/>
        </w:trPr>
        <w:tc>
          <w:tcPr>
            <w:tcW w:w="3276"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D1384F3" w14:textId="1FD27380"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3D1BEE">
              <w:rPr>
                <w:rFonts w:eastAsia="Arial" w:cs="Arial"/>
                <w:lang w:val="en-US"/>
              </w:rPr>
              <w:t>1.0</w:t>
            </w:r>
          </w:p>
        </w:tc>
      </w:tr>
      <w:tr w:rsidR="001D0262" w:rsidRPr="00741EF2" w14:paraId="4F68EB28" w14:textId="77777777" w:rsidTr="00073761">
        <w:trPr>
          <w:trHeight w:val="432"/>
        </w:trPr>
        <w:tc>
          <w:tcPr>
            <w:tcW w:w="3276"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7A6352B5" w14:textId="37127E9F" w:rsidR="00073761" w:rsidRPr="000C607F" w:rsidRDefault="003D1BEE" w:rsidP="003B193C">
            <w:pPr>
              <w:widowControl w:val="0"/>
              <w:spacing w:before="0" w:line="240" w:lineRule="auto"/>
              <w:jc w:val="left"/>
              <w:rPr>
                <w:rFonts w:eastAsia="Calibri" w:hAnsi="Calibri" w:cs="Times New Roman"/>
                <w:spacing w:val="-1"/>
                <w:lang w:val="en-US"/>
              </w:rPr>
            </w:pPr>
            <w:r>
              <w:rPr>
                <w:rFonts w:cs="Arial"/>
              </w:rPr>
              <w:t>Bill Nichol, Assistant Director Safeguarding</w:t>
            </w:r>
          </w:p>
        </w:tc>
      </w:tr>
      <w:tr w:rsidR="001D0262" w:rsidRPr="00741EF2" w14:paraId="4DFBA285" w14:textId="77777777" w:rsidTr="00073761">
        <w:trPr>
          <w:trHeight w:val="432"/>
        </w:trPr>
        <w:tc>
          <w:tcPr>
            <w:tcW w:w="3276" w:type="dxa"/>
          </w:tcPr>
          <w:p w14:paraId="07122BAF" w14:textId="77777777" w:rsidR="001D0262" w:rsidRPr="00741EF2" w:rsidRDefault="001D0262" w:rsidP="00C447BD">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26DC8AEB" w:rsidR="001D0262" w:rsidRDefault="002A7F62"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System Quality Group</w:t>
            </w:r>
            <w:r w:rsidR="00C576C0">
              <w:rPr>
                <w:rFonts w:eastAsia="Calibri" w:hAnsi="Calibri" w:cs="Times New Roman"/>
                <w:spacing w:val="-1"/>
                <w:lang w:val="en-US"/>
              </w:rPr>
              <w:t xml:space="preserve">, </w:t>
            </w:r>
            <w:r w:rsidR="003D1BEE">
              <w:rPr>
                <w:rFonts w:eastAsia="Calibri" w:hAnsi="Calibri" w:cs="Times New Roman"/>
                <w:spacing w:val="-1"/>
                <w:lang w:val="en-US"/>
              </w:rPr>
              <w:t>4</w:t>
            </w:r>
            <w:r w:rsidR="003D1BEE" w:rsidRPr="003D1BEE">
              <w:rPr>
                <w:rFonts w:eastAsia="Calibri" w:hAnsi="Calibri" w:cs="Times New Roman"/>
                <w:spacing w:val="-1"/>
                <w:vertAlign w:val="superscript"/>
                <w:lang w:val="en-US"/>
              </w:rPr>
              <w:t>th</w:t>
            </w:r>
            <w:r w:rsidR="003D1BEE">
              <w:rPr>
                <w:rFonts w:eastAsia="Calibri" w:hAnsi="Calibri" w:cs="Times New Roman"/>
                <w:spacing w:val="-1"/>
                <w:lang w:val="en-US"/>
              </w:rPr>
              <w:t xml:space="preserve"> </w:t>
            </w:r>
            <w:r w:rsidR="00C576C0">
              <w:rPr>
                <w:rFonts w:eastAsia="Calibri" w:hAnsi="Calibri" w:cs="Times New Roman"/>
                <w:spacing w:val="-1"/>
                <w:lang w:val="en-US"/>
              </w:rPr>
              <w:t>April 2023</w:t>
            </w:r>
          </w:p>
        </w:tc>
      </w:tr>
      <w:tr w:rsidR="001D0262" w:rsidRPr="00741EF2" w14:paraId="6D24368C" w14:textId="77777777" w:rsidTr="00073761">
        <w:trPr>
          <w:trHeight w:val="432"/>
        </w:trPr>
        <w:tc>
          <w:tcPr>
            <w:tcW w:w="3276"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387DD791" w:rsidR="001D0262" w:rsidRPr="00741EF2" w:rsidRDefault="002A7F62" w:rsidP="00C447BD">
            <w:pPr>
              <w:widowControl w:val="0"/>
              <w:spacing w:before="0" w:line="240" w:lineRule="auto"/>
              <w:jc w:val="left"/>
              <w:rPr>
                <w:rFonts w:eastAsia="Arial" w:cs="Arial"/>
                <w:lang w:val="en-US"/>
              </w:rPr>
            </w:pPr>
            <w:r>
              <w:rPr>
                <w:rFonts w:eastAsia="Arial" w:cs="Arial"/>
                <w:lang w:val="en-US"/>
              </w:rPr>
              <w:t>April 2023</w:t>
            </w:r>
          </w:p>
        </w:tc>
      </w:tr>
      <w:tr w:rsidR="001D0262" w:rsidRPr="00741EF2" w14:paraId="27A59695" w14:textId="77777777" w:rsidTr="00073761">
        <w:trPr>
          <w:trHeight w:val="432"/>
        </w:trPr>
        <w:tc>
          <w:tcPr>
            <w:tcW w:w="3276"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660D9377" w:rsidR="001D0262" w:rsidRPr="00741EF2" w:rsidRDefault="002A7F62" w:rsidP="00C447BD">
            <w:pPr>
              <w:widowControl w:val="0"/>
              <w:spacing w:before="0" w:line="240" w:lineRule="auto"/>
              <w:jc w:val="left"/>
              <w:rPr>
                <w:rFonts w:eastAsia="Arial" w:cs="Arial"/>
                <w:lang w:val="en-US"/>
              </w:rPr>
            </w:pPr>
            <w:r>
              <w:rPr>
                <w:rFonts w:eastAsia="Arial" w:cs="Arial"/>
                <w:lang w:val="en-US"/>
              </w:rPr>
              <w:t>March 202</w:t>
            </w:r>
            <w:r w:rsidR="003D1BEE">
              <w:rPr>
                <w:rFonts w:eastAsia="Arial" w:cs="Arial"/>
                <w:lang w:val="en-US"/>
              </w:rPr>
              <w:t>5</w:t>
            </w:r>
          </w:p>
        </w:tc>
      </w:tr>
      <w:tr w:rsidR="001D0262" w:rsidRPr="00741EF2" w14:paraId="1854572F" w14:textId="77777777" w:rsidTr="00073761">
        <w:trPr>
          <w:trHeight w:val="432"/>
        </w:trPr>
        <w:tc>
          <w:tcPr>
            <w:tcW w:w="3276"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01DA1D86" w14:textId="77777777" w:rsidR="00E06E0A" w:rsidRDefault="00E06E0A" w:rsidP="00C447BD">
            <w:pPr>
              <w:widowControl w:val="0"/>
              <w:spacing w:before="0" w:line="240" w:lineRule="auto"/>
              <w:jc w:val="left"/>
            </w:pPr>
            <w:r>
              <w:t xml:space="preserve">Safeguarding </w:t>
            </w:r>
            <w:r w:rsidR="00BB6760">
              <w:t xml:space="preserve">Adults </w:t>
            </w:r>
            <w:r>
              <w:t>Policy</w:t>
            </w:r>
          </w:p>
          <w:p w14:paraId="030956D2" w14:textId="23F636E0" w:rsidR="00056C5B" w:rsidRPr="006723E0" w:rsidRDefault="00056C5B" w:rsidP="00C447BD">
            <w:pPr>
              <w:widowControl w:val="0"/>
              <w:spacing w:before="0" w:line="240" w:lineRule="auto"/>
              <w:jc w:val="left"/>
            </w:pPr>
            <w:r>
              <w:t>Safeguarding Children Policy</w:t>
            </w:r>
          </w:p>
        </w:tc>
      </w:tr>
      <w:tr w:rsidR="001D0262" w:rsidRPr="00741EF2" w14:paraId="59D92D0F" w14:textId="77777777" w:rsidTr="00073761">
        <w:trPr>
          <w:trHeight w:val="432"/>
        </w:trPr>
        <w:tc>
          <w:tcPr>
            <w:tcW w:w="3276"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40ECDCA3" w14:textId="2669E976" w:rsidR="009D0185" w:rsidRDefault="00056C5B"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Prevent</w:t>
            </w:r>
          </w:p>
        </w:tc>
      </w:tr>
      <w:tr w:rsidR="001D0262" w:rsidRPr="00741EF2" w14:paraId="7BFF1AB9" w14:textId="77777777" w:rsidTr="00073761">
        <w:trPr>
          <w:trHeight w:val="432"/>
        </w:trPr>
        <w:tc>
          <w:tcPr>
            <w:tcW w:w="3276"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0C067637"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w:t>
            </w:r>
            <w:r w:rsidR="00056C5B">
              <w:rPr>
                <w:rFonts w:eastAsia="Calibri" w:hAnsi="Calibri" w:cs="Times New Roman"/>
                <w:spacing w:val="-1"/>
                <w:lang w:val="en-US"/>
              </w:rPr>
              <w:t>12</w:t>
            </w:r>
          </w:p>
        </w:tc>
      </w:tr>
      <w:tr w:rsidR="001D0262" w:rsidRPr="00741EF2" w14:paraId="269AA876" w14:textId="77777777" w:rsidTr="00073761">
        <w:trPr>
          <w:trHeight w:val="432"/>
        </w:trPr>
        <w:tc>
          <w:tcPr>
            <w:tcW w:w="3276"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3713BE80" w:rsidR="001D0262" w:rsidRDefault="00073761"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w:t>
            </w:r>
            <w:r w:rsidR="002E116B">
              <w:rPr>
                <w:rFonts w:eastAsia="Arial" w:cs="Arial"/>
                <w:lang w:val="en-US"/>
              </w:rPr>
              <w:t xml:space="preserve">. </w:t>
            </w:r>
            <w:r w:rsidR="001D0262" w:rsidRPr="00A2051A">
              <w:rPr>
                <w:rFonts w:eastAsia="Arial" w:cs="Arial"/>
                <w:lang w:val="en-US"/>
              </w:rPr>
              <w:t xml:space="preserve">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3623EC45" w14:textId="047C9C02" w:rsidR="00AB25C7" w:rsidRDefault="00453AA1">
      <w:pPr>
        <w:pStyle w:val="TOC1"/>
        <w:rPr>
          <w:rFonts w:asciiTheme="minorHAnsi" w:eastAsiaTheme="minorEastAsia" w:hAnsiTheme="minorHAnsi"/>
          <w:noProof/>
          <w:lang w:eastAsia="en-GB"/>
        </w:rPr>
      </w:pPr>
      <w:r>
        <w:rPr>
          <w:rFonts w:eastAsia="Times New Roman" w:cs="Times New Roman"/>
          <w:caps/>
          <w:sz w:val="20"/>
          <w:szCs w:val="20"/>
          <w:lang w:eastAsia="en-GB"/>
        </w:rPr>
        <w:fldChar w:fldCharType="begin"/>
      </w:r>
      <w:r>
        <w:rPr>
          <w:rFonts w:eastAsia="Times New Roman" w:cs="Times New Roman"/>
          <w:caps/>
          <w:sz w:val="20"/>
          <w:szCs w:val="20"/>
          <w:lang w:eastAsia="en-GB"/>
        </w:rPr>
        <w:instrText xml:space="preserve"> TOC \h \z \t "Policies Heading 1,1,Appendices Heading,1,Policies Heading 2,2" </w:instrText>
      </w:r>
      <w:r>
        <w:rPr>
          <w:rFonts w:eastAsia="Times New Roman" w:cs="Times New Roman"/>
          <w:caps/>
          <w:sz w:val="20"/>
          <w:szCs w:val="20"/>
          <w:lang w:eastAsia="en-GB"/>
        </w:rPr>
        <w:fldChar w:fldCharType="separate"/>
      </w:r>
      <w:hyperlink w:anchor="_Toc99112024" w:history="1">
        <w:r w:rsidR="00AB25C7" w:rsidRPr="00C1117E">
          <w:rPr>
            <w:rStyle w:val="Hyperlink"/>
            <w:noProof/>
            <w14:scene3d>
              <w14:camera w14:prst="orthographicFront"/>
              <w14:lightRig w14:rig="threePt" w14:dir="t">
                <w14:rot w14:lat="0" w14:lon="0" w14:rev="0"/>
              </w14:lightRig>
            </w14:scene3d>
          </w:rPr>
          <w:t>1.</w:t>
        </w:r>
        <w:r w:rsidR="00AB25C7">
          <w:rPr>
            <w:rFonts w:asciiTheme="minorHAnsi" w:eastAsiaTheme="minorEastAsia" w:hAnsiTheme="minorHAnsi"/>
            <w:noProof/>
            <w:lang w:eastAsia="en-GB"/>
          </w:rPr>
          <w:tab/>
        </w:r>
        <w:r w:rsidR="00AB25C7" w:rsidRPr="00C1117E">
          <w:rPr>
            <w:rStyle w:val="Hyperlink"/>
            <w:noProof/>
          </w:rPr>
          <w:t>Purpose</w:t>
        </w:r>
        <w:r w:rsidR="00AB25C7">
          <w:rPr>
            <w:noProof/>
            <w:webHidden/>
          </w:rPr>
          <w:tab/>
        </w:r>
        <w:r w:rsidR="00AB25C7">
          <w:rPr>
            <w:noProof/>
            <w:webHidden/>
          </w:rPr>
          <w:fldChar w:fldCharType="begin"/>
        </w:r>
        <w:r w:rsidR="00AB25C7">
          <w:rPr>
            <w:noProof/>
            <w:webHidden/>
          </w:rPr>
          <w:instrText xml:space="preserve"> PAGEREF _Toc99112024 \h </w:instrText>
        </w:r>
        <w:r w:rsidR="00AB25C7">
          <w:rPr>
            <w:noProof/>
            <w:webHidden/>
          </w:rPr>
        </w:r>
        <w:r w:rsidR="00AB25C7">
          <w:rPr>
            <w:noProof/>
            <w:webHidden/>
          </w:rPr>
          <w:fldChar w:fldCharType="separate"/>
        </w:r>
        <w:r w:rsidR="00AB25C7">
          <w:rPr>
            <w:noProof/>
            <w:webHidden/>
          </w:rPr>
          <w:t>4</w:t>
        </w:r>
        <w:r w:rsidR="00AB25C7">
          <w:rPr>
            <w:noProof/>
            <w:webHidden/>
          </w:rPr>
          <w:fldChar w:fldCharType="end"/>
        </w:r>
      </w:hyperlink>
    </w:p>
    <w:p w14:paraId="1B2BD4DB" w14:textId="3CA3CC6C" w:rsidR="00AB25C7" w:rsidRDefault="003D1BEE">
      <w:pPr>
        <w:pStyle w:val="TOC1"/>
        <w:rPr>
          <w:rFonts w:asciiTheme="minorHAnsi" w:eastAsiaTheme="minorEastAsia" w:hAnsiTheme="minorHAnsi"/>
          <w:noProof/>
          <w:lang w:eastAsia="en-GB"/>
        </w:rPr>
      </w:pPr>
      <w:hyperlink w:anchor="_Toc99112025" w:history="1">
        <w:r w:rsidR="00AB25C7" w:rsidRPr="00C1117E">
          <w:rPr>
            <w:rStyle w:val="Hyperlink"/>
            <w:noProof/>
            <w14:scene3d>
              <w14:camera w14:prst="orthographicFront"/>
              <w14:lightRig w14:rig="threePt" w14:dir="t">
                <w14:rot w14:lat="0" w14:lon="0" w14:rev="0"/>
              </w14:lightRig>
            </w14:scene3d>
          </w:rPr>
          <w:t>2.</w:t>
        </w:r>
        <w:r w:rsidR="00AB25C7">
          <w:rPr>
            <w:rFonts w:asciiTheme="minorHAnsi" w:eastAsiaTheme="minorEastAsia" w:hAnsiTheme="minorHAnsi"/>
            <w:noProof/>
            <w:lang w:eastAsia="en-GB"/>
          </w:rPr>
          <w:tab/>
        </w:r>
        <w:r w:rsidR="00AB25C7" w:rsidRPr="00C1117E">
          <w:rPr>
            <w:rStyle w:val="Hyperlink"/>
            <w:noProof/>
          </w:rPr>
          <w:t>Scope</w:t>
        </w:r>
        <w:r w:rsidR="00AB25C7">
          <w:rPr>
            <w:noProof/>
            <w:webHidden/>
          </w:rPr>
          <w:tab/>
        </w:r>
        <w:r w:rsidR="00AB25C7">
          <w:rPr>
            <w:noProof/>
            <w:webHidden/>
          </w:rPr>
          <w:fldChar w:fldCharType="begin"/>
        </w:r>
        <w:r w:rsidR="00AB25C7">
          <w:rPr>
            <w:noProof/>
            <w:webHidden/>
          </w:rPr>
          <w:instrText xml:space="preserve"> PAGEREF _Toc99112025 \h </w:instrText>
        </w:r>
        <w:r w:rsidR="00AB25C7">
          <w:rPr>
            <w:noProof/>
            <w:webHidden/>
          </w:rPr>
        </w:r>
        <w:r w:rsidR="00AB25C7">
          <w:rPr>
            <w:noProof/>
            <w:webHidden/>
          </w:rPr>
          <w:fldChar w:fldCharType="separate"/>
        </w:r>
        <w:r w:rsidR="00AB25C7">
          <w:rPr>
            <w:noProof/>
            <w:webHidden/>
          </w:rPr>
          <w:t>4</w:t>
        </w:r>
        <w:r w:rsidR="00AB25C7">
          <w:rPr>
            <w:noProof/>
            <w:webHidden/>
          </w:rPr>
          <w:fldChar w:fldCharType="end"/>
        </w:r>
      </w:hyperlink>
    </w:p>
    <w:p w14:paraId="7B919B77" w14:textId="36530224" w:rsidR="00AB25C7" w:rsidRDefault="003D1BEE">
      <w:pPr>
        <w:pStyle w:val="TOC1"/>
        <w:rPr>
          <w:rFonts w:asciiTheme="minorHAnsi" w:eastAsiaTheme="minorEastAsia" w:hAnsiTheme="minorHAnsi"/>
          <w:noProof/>
          <w:lang w:eastAsia="en-GB"/>
        </w:rPr>
      </w:pPr>
      <w:hyperlink w:anchor="_Toc99112026" w:history="1">
        <w:r w:rsidR="00AB25C7" w:rsidRPr="00C1117E">
          <w:rPr>
            <w:rStyle w:val="Hyperlink"/>
            <w:noProof/>
            <w14:scene3d>
              <w14:camera w14:prst="orthographicFront"/>
              <w14:lightRig w14:rig="threePt" w14:dir="t">
                <w14:rot w14:lat="0" w14:lon="0" w14:rev="0"/>
              </w14:lightRig>
            </w14:scene3d>
          </w:rPr>
          <w:t>3.</w:t>
        </w:r>
        <w:r w:rsidR="00AB25C7">
          <w:rPr>
            <w:rFonts w:asciiTheme="minorHAnsi" w:eastAsiaTheme="minorEastAsia" w:hAnsiTheme="minorHAnsi"/>
            <w:noProof/>
            <w:lang w:eastAsia="en-GB"/>
          </w:rPr>
          <w:tab/>
        </w:r>
        <w:r w:rsidR="00AB25C7" w:rsidRPr="00C1117E">
          <w:rPr>
            <w:rStyle w:val="Hyperlink"/>
            <w:noProof/>
          </w:rPr>
          <w:t>Introduction</w:t>
        </w:r>
        <w:r w:rsidR="00AB25C7">
          <w:rPr>
            <w:noProof/>
            <w:webHidden/>
          </w:rPr>
          <w:tab/>
        </w:r>
        <w:r w:rsidR="00AB25C7">
          <w:rPr>
            <w:noProof/>
            <w:webHidden/>
          </w:rPr>
          <w:fldChar w:fldCharType="begin"/>
        </w:r>
        <w:r w:rsidR="00AB25C7">
          <w:rPr>
            <w:noProof/>
            <w:webHidden/>
          </w:rPr>
          <w:instrText xml:space="preserve"> PAGEREF _Toc99112026 \h </w:instrText>
        </w:r>
        <w:r w:rsidR="00AB25C7">
          <w:rPr>
            <w:noProof/>
            <w:webHidden/>
          </w:rPr>
        </w:r>
        <w:r w:rsidR="00AB25C7">
          <w:rPr>
            <w:noProof/>
            <w:webHidden/>
          </w:rPr>
          <w:fldChar w:fldCharType="separate"/>
        </w:r>
        <w:r w:rsidR="00AB25C7">
          <w:rPr>
            <w:noProof/>
            <w:webHidden/>
          </w:rPr>
          <w:t>5</w:t>
        </w:r>
        <w:r w:rsidR="00AB25C7">
          <w:rPr>
            <w:noProof/>
            <w:webHidden/>
          </w:rPr>
          <w:fldChar w:fldCharType="end"/>
        </w:r>
      </w:hyperlink>
    </w:p>
    <w:p w14:paraId="1C061021" w14:textId="65160F51" w:rsidR="00AB25C7" w:rsidRDefault="003D1BEE">
      <w:pPr>
        <w:pStyle w:val="TOC1"/>
        <w:rPr>
          <w:rFonts w:asciiTheme="minorHAnsi" w:eastAsiaTheme="minorEastAsia" w:hAnsiTheme="minorHAnsi"/>
          <w:noProof/>
          <w:lang w:eastAsia="en-GB"/>
        </w:rPr>
      </w:pPr>
      <w:hyperlink w:anchor="_Toc99112027" w:history="1">
        <w:r w:rsidR="00AB25C7" w:rsidRPr="00C1117E">
          <w:rPr>
            <w:rStyle w:val="Hyperlink"/>
            <w:noProof/>
            <w14:scene3d>
              <w14:camera w14:prst="orthographicFront"/>
              <w14:lightRig w14:rig="threePt" w14:dir="t">
                <w14:rot w14:lat="0" w14:lon="0" w14:rev="0"/>
              </w14:lightRig>
            </w14:scene3d>
          </w:rPr>
          <w:t>4.</w:t>
        </w:r>
        <w:r w:rsidR="00AB25C7">
          <w:rPr>
            <w:rFonts w:asciiTheme="minorHAnsi" w:eastAsiaTheme="minorEastAsia" w:hAnsiTheme="minorHAnsi"/>
            <w:noProof/>
            <w:lang w:eastAsia="en-GB"/>
          </w:rPr>
          <w:tab/>
        </w:r>
        <w:r w:rsidR="00AB25C7" w:rsidRPr="00C1117E">
          <w:rPr>
            <w:rStyle w:val="Hyperlink"/>
            <w:noProof/>
          </w:rPr>
          <w:t>Implications for the NHS &amp; ICB</w:t>
        </w:r>
        <w:r w:rsidR="00AB25C7">
          <w:rPr>
            <w:noProof/>
            <w:webHidden/>
          </w:rPr>
          <w:tab/>
        </w:r>
        <w:r w:rsidR="00AB25C7">
          <w:rPr>
            <w:noProof/>
            <w:webHidden/>
          </w:rPr>
          <w:fldChar w:fldCharType="begin"/>
        </w:r>
        <w:r w:rsidR="00AB25C7">
          <w:rPr>
            <w:noProof/>
            <w:webHidden/>
          </w:rPr>
          <w:instrText xml:space="preserve"> PAGEREF _Toc99112027 \h </w:instrText>
        </w:r>
        <w:r w:rsidR="00AB25C7">
          <w:rPr>
            <w:noProof/>
            <w:webHidden/>
          </w:rPr>
        </w:r>
        <w:r w:rsidR="00AB25C7">
          <w:rPr>
            <w:noProof/>
            <w:webHidden/>
          </w:rPr>
          <w:fldChar w:fldCharType="separate"/>
        </w:r>
        <w:r w:rsidR="00AB25C7">
          <w:rPr>
            <w:noProof/>
            <w:webHidden/>
          </w:rPr>
          <w:t>6</w:t>
        </w:r>
        <w:r w:rsidR="00AB25C7">
          <w:rPr>
            <w:noProof/>
            <w:webHidden/>
          </w:rPr>
          <w:fldChar w:fldCharType="end"/>
        </w:r>
      </w:hyperlink>
    </w:p>
    <w:p w14:paraId="2FA58B0B" w14:textId="128730E1" w:rsidR="00AB25C7" w:rsidRDefault="003D1BEE">
      <w:pPr>
        <w:pStyle w:val="TOC1"/>
        <w:rPr>
          <w:rFonts w:asciiTheme="minorHAnsi" w:eastAsiaTheme="minorEastAsia" w:hAnsiTheme="minorHAnsi"/>
          <w:noProof/>
          <w:lang w:eastAsia="en-GB"/>
        </w:rPr>
      </w:pPr>
      <w:hyperlink w:anchor="_Toc99112028" w:history="1">
        <w:r w:rsidR="00AB25C7" w:rsidRPr="00C1117E">
          <w:rPr>
            <w:rStyle w:val="Hyperlink"/>
            <w:noProof/>
            <w14:scene3d>
              <w14:camera w14:prst="orthographicFront"/>
              <w14:lightRig w14:rig="threePt" w14:dir="t">
                <w14:rot w14:lat="0" w14:lon="0" w14:rev="0"/>
              </w14:lightRig>
            </w14:scene3d>
          </w:rPr>
          <w:t>5.</w:t>
        </w:r>
        <w:r w:rsidR="00AB25C7">
          <w:rPr>
            <w:rFonts w:asciiTheme="minorHAnsi" w:eastAsiaTheme="minorEastAsia" w:hAnsiTheme="minorHAnsi"/>
            <w:noProof/>
            <w:lang w:eastAsia="en-GB"/>
          </w:rPr>
          <w:tab/>
        </w:r>
        <w:r w:rsidR="00AB25C7" w:rsidRPr="00C1117E">
          <w:rPr>
            <w:rStyle w:val="Hyperlink"/>
            <w:noProof/>
          </w:rPr>
          <w:t>Responsibility &amp; Duties</w:t>
        </w:r>
        <w:r w:rsidR="00AB25C7">
          <w:rPr>
            <w:noProof/>
            <w:webHidden/>
          </w:rPr>
          <w:tab/>
        </w:r>
        <w:r w:rsidR="00AB25C7">
          <w:rPr>
            <w:noProof/>
            <w:webHidden/>
          </w:rPr>
          <w:fldChar w:fldCharType="begin"/>
        </w:r>
        <w:r w:rsidR="00AB25C7">
          <w:rPr>
            <w:noProof/>
            <w:webHidden/>
          </w:rPr>
          <w:instrText xml:space="preserve"> PAGEREF _Toc99112028 \h </w:instrText>
        </w:r>
        <w:r w:rsidR="00AB25C7">
          <w:rPr>
            <w:noProof/>
            <w:webHidden/>
          </w:rPr>
        </w:r>
        <w:r w:rsidR="00AB25C7">
          <w:rPr>
            <w:noProof/>
            <w:webHidden/>
          </w:rPr>
          <w:fldChar w:fldCharType="separate"/>
        </w:r>
        <w:r w:rsidR="00AB25C7">
          <w:rPr>
            <w:noProof/>
            <w:webHidden/>
          </w:rPr>
          <w:t>6</w:t>
        </w:r>
        <w:r w:rsidR="00AB25C7">
          <w:rPr>
            <w:noProof/>
            <w:webHidden/>
          </w:rPr>
          <w:fldChar w:fldCharType="end"/>
        </w:r>
      </w:hyperlink>
    </w:p>
    <w:p w14:paraId="7CD402A7" w14:textId="75BD94B6" w:rsidR="00AB25C7" w:rsidRDefault="003D1BEE">
      <w:pPr>
        <w:pStyle w:val="TOC2"/>
        <w:rPr>
          <w:rFonts w:asciiTheme="minorHAnsi" w:eastAsiaTheme="minorEastAsia" w:hAnsiTheme="minorHAnsi"/>
          <w:noProof/>
          <w:lang w:eastAsia="en-GB"/>
        </w:rPr>
      </w:pPr>
      <w:hyperlink w:anchor="_Toc99112029" w:history="1">
        <w:r w:rsidR="00AB25C7" w:rsidRPr="00C1117E">
          <w:rPr>
            <w:rStyle w:val="Hyperlink"/>
            <w:noProof/>
          </w:rPr>
          <w:t>5.1</w:t>
        </w:r>
        <w:r w:rsidR="00AB25C7">
          <w:rPr>
            <w:rFonts w:asciiTheme="minorHAnsi" w:eastAsiaTheme="minorEastAsia" w:hAnsiTheme="minorHAnsi"/>
            <w:noProof/>
            <w:lang w:eastAsia="en-GB"/>
          </w:rPr>
          <w:tab/>
        </w:r>
        <w:r w:rsidR="00AB25C7" w:rsidRPr="00C1117E">
          <w:rPr>
            <w:rStyle w:val="Hyperlink"/>
            <w:noProof/>
          </w:rPr>
          <w:t>Chief Executive Officer/Chief Nurse Officer</w:t>
        </w:r>
        <w:r w:rsidR="00AB25C7">
          <w:rPr>
            <w:noProof/>
            <w:webHidden/>
          </w:rPr>
          <w:tab/>
        </w:r>
        <w:r w:rsidR="00AB25C7">
          <w:rPr>
            <w:noProof/>
            <w:webHidden/>
          </w:rPr>
          <w:fldChar w:fldCharType="begin"/>
        </w:r>
        <w:r w:rsidR="00AB25C7">
          <w:rPr>
            <w:noProof/>
            <w:webHidden/>
          </w:rPr>
          <w:instrText xml:space="preserve"> PAGEREF _Toc99112029 \h </w:instrText>
        </w:r>
        <w:r w:rsidR="00AB25C7">
          <w:rPr>
            <w:noProof/>
            <w:webHidden/>
          </w:rPr>
        </w:r>
        <w:r w:rsidR="00AB25C7">
          <w:rPr>
            <w:noProof/>
            <w:webHidden/>
          </w:rPr>
          <w:fldChar w:fldCharType="separate"/>
        </w:r>
        <w:r w:rsidR="00AB25C7">
          <w:rPr>
            <w:noProof/>
            <w:webHidden/>
          </w:rPr>
          <w:t>6</w:t>
        </w:r>
        <w:r w:rsidR="00AB25C7">
          <w:rPr>
            <w:noProof/>
            <w:webHidden/>
          </w:rPr>
          <w:fldChar w:fldCharType="end"/>
        </w:r>
      </w:hyperlink>
    </w:p>
    <w:p w14:paraId="6C76C2D1" w14:textId="1600D880" w:rsidR="00AB25C7" w:rsidRDefault="003D1BEE">
      <w:pPr>
        <w:pStyle w:val="TOC2"/>
        <w:rPr>
          <w:rFonts w:asciiTheme="minorHAnsi" w:eastAsiaTheme="minorEastAsia" w:hAnsiTheme="minorHAnsi"/>
          <w:noProof/>
          <w:lang w:eastAsia="en-GB"/>
        </w:rPr>
      </w:pPr>
      <w:hyperlink w:anchor="_Toc99112030" w:history="1">
        <w:r w:rsidR="00AB25C7" w:rsidRPr="00C1117E">
          <w:rPr>
            <w:rStyle w:val="Hyperlink"/>
            <w:noProof/>
          </w:rPr>
          <w:t>5.2</w:t>
        </w:r>
        <w:r w:rsidR="00AB25C7">
          <w:rPr>
            <w:rFonts w:asciiTheme="minorHAnsi" w:eastAsiaTheme="minorEastAsia" w:hAnsiTheme="minorHAnsi"/>
            <w:noProof/>
            <w:lang w:eastAsia="en-GB"/>
          </w:rPr>
          <w:tab/>
        </w:r>
        <w:r w:rsidR="00AB25C7" w:rsidRPr="00C1117E">
          <w:rPr>
            <w:rStyle w:val="Hyperlink"/>
            <w:noProof/>
          </w:rPr>
          <w:t>Assistant Director for Safeguarding Adults (ICB Prevent Lead)</w:t>
        </w:r>
        <w:r w:rsidR="00AB25C7">
          <w:rPr>
            <w:noProof/>
            <w:webHidden/>
          </w:rPr>
          <w:tab/>
        </w:r>
        <w:r w:rsidR="00AB25C7">
          <w:rPr>
            <w:noProof/>
            <w:webHidden/>
          </w:rPr>
          <w:fldChar w:fldCharType="begin"/>
        </w:r>
        <w:r w:rsidR="00AB25C7">
          <w:rPr>
            <w:noProof/>
            <w:webHidden/>
          </w:rPr>
          <w:instrText xml:space="preserve"> PAGEREF _Toc99112030 \h </w:instrText>
        </w:r>
        <w:r w:rsidR="00AB25C7">
          <w:rPr>
            <w:noProof/>
            <w:webHidden/>
          </w:rPr>
        </w:r>
        <w:r w:rsidR="00AB25C7">
          <w:rPr>
            <w:noProof/>
            <w:webHidden/>
          </w:rPr>
          <w:fldChar w:fldCharType="separate"/>
        </w:r>
        <w:r w:rsidR="00AB25C7">
          <w:rPr>
            <w:noProof/>
            <w:webHidden/>
          </w:rPr>
          <w:t>7</w:t>
        </w:r>
        <w:r w:rsidR="00AB25C7">
          <w:rPr>
            <w:noProof/>
            <w:webHidden/>
          </w:rPr>
          <w:fldChar w:fldCharType="end"/>
        </w:r>
      </w:hyperlink>
    </w:p>
    <w:p w14:paraId="231CB966" w14:textId="13602534" w:rsidR="00AB25C7" w:rsidRDefault="003D1BEE">
      <w:pPr>
        <w:pStyle w:val="TOC2"/>
        <w:rPr>
          <w:rFonts w:asciiTheme="minorHAnsi" w:eastAsiaTheme="minorEastAsia" w:hAnsiTheme="minorHAnsi"/>
          <w:noProof/>
          <w:lang w:eastAsia="en-GB"/>
        </w:rPr>
      </w:pPr>
      <w:hyperlink w:anchor="_Toc99112031" w:history="1">
        <w:r w:rsidR="00AB25C7" w:rsidRPr="00C1117E">
          <w:rPr>
            <w:rStyle w:val="Hyperlink"/>
            <w:noProof/>
          </w:rPr>
          <w:t>5.3</w:t>
        </w:r>
        <w:r w:rsidR="00AB25C7">
          <w:rPr>
            <w:rFonts w:asciiTheme="minorHAnsi" w:eastAsiaTheme="minorEastAsia" w:hAnsiTheme="minorHAnsi"/>
            <w:noProof/>
            <w:lang w:eastAsia="en-GB"/>
          </w:rPr>
          <w:tab/>
        </w:r>
        <w:r w:rsidR="00AB25C7" w:rsidRPr="00C1117E">
          <w:rPr>
            <w:rStyle w:val="Hyperlink"/>
            <w:noProof/>
          </w:rPr>
          <w:t>Safeguarding Adults Manager (ICB)</w:t>
        </w:r>
        <w:r w:rsidR="00AB25C7">
          <w:rPr>
            <w:noProof/>
            <w:webHidden/>
          </w:rPr>
          <w:tab/>
        </w:r>
        <w:r w:rsidR="00AB25C7">
          <w:rPr>
            <w:noProof/>
            <w:webHidden/>
          </w:rPr>
          <w:fldChar w:fldCharType="begin"/>
        </w:r>
        <w:r w:rsidR="00AB25C7">
          <w:rPr>
            <w:noProof/>
            <w:webHidden/>
          </w:rPr>
          <w:instrText xml:space="preserve"> PAGEREF _Toc99112031 \h </w:instrText>
        </w:r>
        <w:r w:rsidR="00AB25C7">
          <w:rPr>
            <w:noProof/>
            <w:webHidden/>
          </w:rPr>
        </w:r>
        <w:r w:rsidR="00AB25C7">
          <w:rPr>
            <w:noProof/>
            <w:webHidden/>
          </w:rPr>
          <w:fldChar w:fldCharType="separate"/>
        </w:r>
        <w:r w:rsidR="00AB25C7">
          <w:rPr>
            <w:noProof/>
            <w:webHidden/>
          </w:rPr>
          <w:t>7</w:t>
        </w:r>
        <w:r w:rsidR="00AB25C7">
          <w:rPr>
            <w:noProof/>
            <w:webHidden/>
          </w:rPr>
          <w:fldChar w:fldCharType="end"/>
        </w:r>
      </w:hyperlink>
    </w:p>
    <w:p w14:paraId="20014012" w14:textId="69470751" w:rsidR="00AB25C7" w:rsidRDefault="003D1BEE">
      <w:pPr>
        <w:pStyle w:val="TOC2"/>
        <w:rPr>
          <w:rFonts w:asciiTheme="minorHAnsi" w:eastAsiaTheme="minorEastAsia" w:hAnsiTheme="minorHAnsi"/>
          <w:noProof/>
          <w:lang w:eastAsia="en-GB"/>
        </w:rPr>
      </w:pPr>
      <w:hyperlink w:anchor="_Toc99112032" w:history="1">
        <w:r w:rsidR="00AB25C7" w:rsidRPr="00C1117E">
          <w:rPr>
            <w:rStyle w:val="Hyperlink"/>
            <w:noProof/>
          </w:rPr>
          <w:t>5.4</w:t>
        </w:r>
        <w:r w:rsidR="00AB25C7">
          <w:rPr>
            <w:rFonts w:asciiTheme="minorHAnsi" w:eastAsiaTheme="minorEastAsia" w:hAnsiTheme="minorHAnsi"/>
            <w:noProof/>
            <w:lang w:eastAsia="en-GB"/>
          </w:rPr>
          <w:tab/>
        </w:r>
        <w:r w:rsidR="00AB25C7" w:rsidRPr="00C1117E">
          <w:rPr>
            <w:rStyle w:val="Hyperlink"/>
            <w:noProof/>
          </w:rPr>
          <w:t>Senior Managers</w:t>
        </w:r>
        <w:r w:rsidR="00AB25C7">
          <w:rPr>
            <w:noProof/>
            <w:webHidden/>
          </w:rPr>
          <w:tab/>
        </w:r>
        <w:r w:rsidR="00AB25C7">
          <w:rPr>
            <w:noProof/>
            <w:webHidden/>
          </w:rPr>
          <w:fldChar w:fldCharType="begin"/>
        </w:r>
        <w:r w:rsidR="00AB25C7">
          <w:rPr>
            <w:noProof/>
            <w:webHidden/>
          </w:rPr>
          <w:instrText xml:space="preserve"> PAGEREF _Toc99112032 \h </w:instrText>
        </w:r>
        <w:r w:rsidR="00AB25C7">
          <w:rPr>
            <w:noProof/>
            <w:webHidden/>
          </w:rPr>
        </w:r>
        <w:r w:rsidR="00AB25C7">
          <w:rPr>
            <w:noProof/>
            <w:webHidden/>
          </w:rPr>
          <w:fldChar w:fldCharType="separate"/>
        </w:r>
        <w:r w:rsidR="00AB25C7">
          <w:rPr>
            <w:noProof/>
            <w:webHidden/>
          </w:rPr>
          <w:t>7</w:t>
        </w:r>
        <w:r w:rsidR="00AB25C7">
          <w:rPr>
            <w:noProof/>
            <w:webHidden/>
          </w:rPr>
          <w:fldChar w:fldCharType="end"/>
        </w:r>
      </w:hyperlink>
    </w:p>
    <w:p w14:paraId="6B03A6FD" w14:textId="430CC7D2" w:rsidR="00AB25C7" w:rsidRDefault="003D1BEE">
      <w:pPr>
        <w:pStyle w:val="TOC2"/>
        <w:rPr>
          <w:rFonts w:asciiTheme="minorHAnsi" w:eastAsiaTheme="minorEastAsia" w:hAnsiTheme="minorHAnsi"/>
          <w:noProof/>
          <w:lang w:eastAsia="en-GB"/>
        </w:rPr>
      </w:pPr>
      <w:hyperlink w:anchor="_Toc99112033" w:history="1">
        <w:r w:rsidR="00AB25C7" w:rsidRPr="00C1117E">
          <w:rPr>
            <w:rStyle w:val="Hyperlink"/>
            <w:noProof/>
          </w:rPr>
          <w:t>5.5</w:t>
        </w:r>
        <w:r w:rsidR="00AB25C7">
          <w:rPr>
            <w:rFonts w:asciiTheme="minorHAnsi" w:eastAsiaTheme="minorEastAsia" w:hAnsiTheme="minorHAnsi"/>
            <w:noProof/>
            <w:lang w:eastAsia="en-GB"/>
          </w:rPr>
          <w:tab/>
        </w:r>
        <w:r w:rsidR="00AB25C7" w:rsidRPr="00C1117E">
          <w:rPr>
            <w:rStyle w:val="Hyperlink"/>
            <w:noProof/>
          </w:rPr>
          <w:t>All Staff</w:t>
        </w:r>
        <w:r w:rsidR="00AB25C7">
          <w:rPr>
            <w:noProof/>
            <w:webHidden/>
          </w:rPr>
          <w:tab/>
        </w:r>
        <w:r w:rsidR="00AB25C7">
          <w:rPr>
            <w:noProof/>
            <w:webHidden/>
          </w:rPr>
          <w:fldChar w:fldCharType="begin"/>
        </w:r>
        <w:r w:rsidR="00AB25C7">
          <w:rPr>
            <w:noProof/>
            <w:webHidden/>
          </w:rPr>
          <w:instrText xml:space="preserve"> PAGEREF _Toc99112033 \h </w:instrText>
        </w:r>
        <w:r w:rsidR="00AB25C7">
          <w:rPr>
            <w:noProof/>
            <w:webHidden/>
          </w:rPr>
        </w:r>
        <w:r w:rsidR="00AB25C7">
          <w:rPr>
            <w:noProof/>
            <w:webHidden/>
          </w:rPr>
          <w:fldChar w:fldCharType="separate"/>
        </w:r>
        <w:r w:rsidR="00AB25C7">
          <w:rPr>
            <w:noProof/>
            <w:webHidden/>
          </w:rPr>
          <w:t>7</w:t>
        </w:r>
        <w:r w:rsidR="00AB25C7">
          <w:rPr>
            <w:noProof/>
            <w:webHidden/>
          </w:rPr>
          <w:fldChar w:fldCharType="end"/>
        </w:r>
      </w:hyperlink>
    </w:p>
    <w:p w14:paraId="062A1773" w14:textId="646D68B8" w:rsidR="00AB25C7" w:rsidRDefault="003D1BEE">
      <w:pPr>
        <w:pStyle w:val="TOC2"/>
        <w:rPr>
          <w:rFonts w:asciiTheme="minorHAnsi" w:eastAsiaTheme="minorEastAsia" w:hAnsiTheme="minorHAnsi"/>
          <w:noProof/>
          <w:lang w:eastAsia="en-GB"/>
        </w:rPr>
      </w:pPr>
      <w:hyperlink w:anchor="_Toc99112034" w:history="1">
        <w:r w:rsidR="00AB25C7" w:rsidRPr="00C1117E">
          <w:rPr>
            <w:rStyle w:val="Hyperlink"/>
            <w:noProof/>
          </w:rPr>
          <w:t>5.6</w:t>
        </w:r>
        <w:r w:rsidR="00AB25C7">
          <w:rPr>
            <w:rFonts w:asciiTheme="minorHAnsi" w:eastAsiaTheme="minorEastAsia" w:hAnsiTheme="minorHAnsi"/>
            <w:noProof/>
            <w:lang w:eastAsia="en-GB"/>
          </w:rPr>
          <w:tab/>
        </w:r>
        <w:r w:rsidR="00AB25C7" w:rsidRPr="00C1117E">
          <w:rPr>
            <w:rStyle w:val="Hyperlink"/>
            <w:noProof/>
          </w:rPr>
          <w:t>Staff Training</w:t>
        </w:r>
        <w:r w:rsidR="00AB25C7">
          <w:rPr>
            <w:noProof/>
            <w:webHidden/>
          </w:rPr>
          <w:tab/>
        </w:r>
        <w:r w:rsidR="00AB25C7">
          <w:rPr>
            <w:noProof/>
            <w:webHidden/>
          </w:rPr>
          <w:fldChar w:fldCharType="begin"/>
        </w:r>
        <w:r w:rsidR="00AB25C7">
          <w:rPr>
            <w:noProof/>
            <w:webHidden/>
          </w:rPr>
          <w:instrText xml:space="preserve"> PAGEREF _Toc99112034 \h </w:instrText>
        </w:r>
        <w:r w:rsidR="00AB25C7">
          <w:rPr>
            <w:noProof/>
            <w:webHidden/>
          </w:rPr>
        </w:r>
        <w:r w:rsidR="00AB25C7">
          <w:rPr>
            <w:noProof/>
            <w:webHidden/>
          </w:rPr>
          <w:fldChar w:fldCharType="separate"/>
        </w:r>
        <w:r w:rsidR="00AB25C7">
          <w:rPr>
            <w:noProof/>
            <w:webHidden/>
          </w:rPr>
          <w:t>8</w:t>
        </w:r>
        <w:r w:rsidR="00AB25C7">
          <w:rPr>
            <w:noProof/>
            <w:webHidden/>
          </w:rPr>
          <w:fldChar w:fldCharType="end"/>
        </w:r>
      </w:hyperlink>
    </w:p>
    <w:p w14:paraId="17D23AAC" w14:textId="14742610" w:rsidR="00AB25C7" w:rsidRDefault="003D1BEE">
      <w:pPr>
        <w:pStyle w:val="TOC1"/>
        <w:rPr>
          <w:rFonts w:asciiTheme="minorHAnsi" w:eastAsiaTheme="minorEastAsia" w:hAnsiTheme="minorHAnsi"/>
          <w:noProof/>
          <w:lang w:eastAsia="en-GB"/>
        </w:rPr>
      </w:pPr>
      <w:hyperlink w:anchor="_Toc99112035" w:history="1">
        <w:r w:rsidR="00AB25C7" w:rsidRPr="00C1117E">
          <w:rPr>
            <w:rStyle w:val="Hyperlink"/>
            <w:noProof/>
            <w14:scene3d>
              <w14:camera w14:prst="orthographicFront"/>
              <w14:lightRig w14:rig="threePt" w14:dir="t">
                <w14:rot w14:lat="0" w14:lon="0" w14:rev="0"/>
              </w14:lightRig>
            </w14:scene3d>
          </w:rPr>
          <w:t>6.</w:t>
        </w:r>
        <w:r w:rsidR="00AB25C7">
          <w:rPr>
            <w:rFonts w:asciiTheme="minorHAnsi" w:eastAsiaTheme="minorEastAsia" w:hAnsiTheme="minorHAnsi"/>
            <w:noProof/>
            <w:lang w:eastAsia="en-GB"/>
          </w:rPr>
          <w:tab/>
        </w:r>
        <w:r w:rsidR="00AB25C7" w:rsidRPr="00C1117E">
          <w:rPr>
            <w:rStyle w:val="Hyperlink"/>
            <w:noProof/>
          </w:rPr>
          <w:t>Supporting References/Evidence Base</w:t>
        </w:r>
        <w:r w:rsidR="00AB25C7">
          <w:rPr>
            <w:noProof/>
            <w:webHidden/>
          </w:rPr>
          <w:tab/>
        </w:r>
        <w:r w:rsidR="00AB25C7">
          <w:rPr>
            <w:noProof/>
            <w:webHidden/>
          </w:rPr>
          <w:fldChar w:fldCharType="begin"/>
        </w:r>
        <w:r w:rsidR="00AB25C7">
          <w:rPr>
            <w:noProof/>
            <w:webHidden/>
          </w:rPr>
          <w:instrText xml:space="preserve"> PAGEREF _Toc99112035 \h </w:instrText>
        </w:r>
        <w:r w:rsidR="00AB25C7">
          <w:rPr>
            <w:noProof/>
            <w:webHidden/>
          </w:rPr>
        </w:r>
        <w:r w:rsidR="00AB25C7">
          <w:rPr>
            <w:noProof/>
            <w:webHidden/>
          </w:rPr>
          <w:fldChar w:fldCharType="separate"/>
        </w:r>
        <w:r w:rsidR="00AB25C7">
          <w:rPr>
            <w:noProof/>
            <w:webHidden/>
          </w:rPr>
          <w:t>8</w:t>
        </w:r>
        <w:r w:rsidR="00AB25C7">
          <w:rPr>
            <w:noProof/>
            <w:webHidden/>
          </w:rPr>
          <w:fldChar w:fldCharType="end"/>
        </w:r>
      </w:hyperlink>
    </w:p>
    <w:p w14:paraId="77218C2F" w14:textId="565F7371" w:rsidR="00AB25C7" w:rsidRDefault="003D1BEE">
      <w:pPr>
        <w:pStyle w:val="TOC1"/>
        <w:rPr>
          <w:rFonts w:asciiTheme="minorHAnsi" w:eastAsiaTheme="minorEastAsia" w:hAnsiTheme="minorHAnsi"/>
          <w:noProof/>
          <w:lang w:eastAsia="en-GB"/>
        </w:rPr>
      </w:pPr>
      <w:hyperlink w:anchor="_Toc99112036" w:history="1">
        <w:r w:rsidR="00AB25C7" w:rsidRPr="00C1117E">
          <w:rPr>
            <w:rStyle w:val="Hyperlink"/>
            <w:noProof/>
            <w14:scene3d>
              <w14:camera w14:prst="orthographicFront"/>
              <w14:lightRig w14:rig="threePt" w14:dir="t">
                <w14:rot w14:lat="0" w14:lon="0" w14:rev="0"/>
              </w14:lightRig>
            </w14:scene3d>
          </w:rPr>
          <w:t>7.</w:t>
        </w:r>
        <w:r w:rsidR="00AB25C7">
          <w:rPr>
            <w:rFonts w:asciiTheme="minorHAnsi" w:eastAsiaTheme="minorEastAsia" w:hAnsiTheme="minorHAnsi"/>
            <w:noProof/>
            <w:lang w:eastAsia="en-GB"/>
          </w:rPr>
          <w:tab/>
        </w:r>
        <w:r w:rsidR="00AB25C7" w:rsidRPr="00C1117E">
          <w:rPr>
            <w:rStyle w:val="Hyperlink"/>
            <w:noProof/>
          </w:rPr>
          <w:t>Equality Statement</w:t>
        </w:r>
        <w:r w:rsidR="00AB25C7">
          <w:rPr>
            <w:noProof/>
            <w:webHidden/>
          </w:rPr>
          <w:tab/>
        </w:r>
        <w:r w:rsidR="00AB25C7">
          <w:rPr>
            <w:noProof/>
            <w:webHidden/>
          </w:rPr>
          <w:fldChar w:fldCharType="begin"/>
        </w:r>
        <w:r w:rsidR="00AB25C7">
          <w:rPr>
            <w:noProof/>
            <w:webHidden/>
          </w:rPr>
          <w:instrText xml:space="preserve"> PAGEREF _Toc99112036 \h </w:instrText>
        </w:r>
        <w:r w:rsidR="00AB25C7">
          <w:rPr>
            <w:noProof/>
            <w:webHidden/>
          </w:rPr>
        </w:r>
        <w:r w:rsidR="00AB25C7">
          <w:rPr>
            <w:noProof/>
            <w:webHidden/>
          </w:rPr>
          <w:fldChar w:fldCharType="separate"/>
        </w:r>
        <w:r w:rsidR="00AB25C7">
          <w:rPr>
            <w:noProof/>
            <w:webHidden/>
          </w:rPr>
          <w:t>9</w:t>
        </w:r>
        <w:r w:rsidR="00AB25C7">
          <w:rPr>
            <w:noProof/>
            <w:webHidden/>
          </w:rPr>
          <w:fldChar w:fldCharType="end"/>
        </w:r>
      </w:hyperlink>
    </w:p>
    <w:p w14:paraId="5D0BCDA6" w14:textId="7138F50D" w:rsidR="00AB25C7" w:rsidRDefault="003D1BEE">
      <w:pPr>
        <w:pStyle w:val="TOC1"/>
        <w:rPr>
          <w:rFonts w:asciiTheme="minorHAnsi" w:eastAsiaTheme="minorEastAsia" w:hAnsiTheme="minorHAnsi"/>
          <w:noProof/>
          <w:lang w:eastAsia="en-GB"/>
        </w:rPr>
      </w:pPr>
      <w:hyperlink w:anchor="_Toc99112037" w:history="1">
        <w:r w:rsidR="00AB25C7" w:rsidRPr="00C1117E">
          <w:rPr>
            <w:rStyle w:val="Hyperlink"/>
            <w:noProof/>
            <w14:scene3d>
              <w14:camera w14:prst="orthographicFront"/>
              <w14:lightRig w14:rig="threePt" w14:dir="t">
                <w14:rot w14:lat="0" w14:lon="0" w14:rev="0"/>
              </w14:lightRig>
            </w14:scene3d>
          </w:rPr>
          <w:t>8.</w:t>
        </w:r>
        <w:r w:rsidR="00AB25C7">
          <w:rPr>
            <w:rFonts w:asciiTheme="minorHAnsi" w:eastAsiaTheme="minorEastAsia" w:hAnsiTheme="minorHAnsi"/>
            <w:noProof/>
            <w:lang w:eastAsia="en-GB"/>
          </w:rPr>
          <w:tab/>
        </w:r>
        <w:r w:rsidR="00AB25C7" w:rsidRPr="00C1117E">
          <w:rPr>
            <w:rStyle w:val="Hyperlink"/>
            <w:noProof/>
          </w:rPr>
          <w:t>Due Regard</w:t>
        </w:r>
        <w:r w:rsidR="00AB25C7">
          <w:rPr>
            <w:noProof/>
            <w:webHidden/>
          </w:rPr>
          <w:tab/>
        </w:r>
        <w:r w:rsidR="00AB25C7">
          <w:rPr>
            <w:noProof/>
            <w:webHidden/>
          </w:rPr>
          <w:fldChar w:fldCharType="begin"/>
        </w:r>
        <w:r w:rsidR="00AB25C7">
          <w:rPr>
            <w:noProof/>
            <w:webHidden/>
          </w:rPr>
          <w:instrText xml:space="preserve"> PAGEREF _Toc99112037 \h </w:instrText>
        </w:r>
        <w:r w:rsidR="00AB25C7">
          <w:rPr>
            <w:noProof/>
            <w:webHidden/>
          </w:rPr>
        </w:r>
        <w:r w:rsidR="00AB25C7">
          <w:rPr>
            <w:noProof/>
            <w:webHidden/>
          </w:rPr>
          <w:fldChar w:fldCharType="separate"/>
        </w:r>
        <w:r w:rsidR="00AB25C7">
          <w:rPr>
            <w:noProof/>
            <w:webHidden/>
          </w:rPr>
          <w:t>9</w:t>
        </w:r>
        <w:r w:rsidR="00AB25C7">
          <w:rPr>
            <w:noProof/>
            <w:webHidden/>
          </w:rPr>
          <w:fldChar w:fldCharType="end"/>
        </w:r>
      </w:hyperlink>
    </w:p>
    <w:p w14:paraId="45F9B30B" w14:textId="28DD4CC5" w:rsidR="00A67CCB" w:rsidRPr="006723E0" w:rsidRDefault="00453AA1" w:rsidP="006723E0">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caps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6CE3A0B3" w:rsidR="005A116F" w:rsidRDefault="00056C5B" w:rsidP="005A116F">
      <w:pPr>
        <w:pStyle w:val="PoliciesHeading1"/>
      </w:pPr>
      <w:bookmarkStart w:id="2" w:name="_Toc99112024"/>
      <w:r>
        <w:lastRenderedPageBreak/>
        <w:t>Purpose</w:t>
      </w:r>
      <w:bookmarkEnd w:id="2"/>
    </w:p>
    <w:p w14:paraId="3F980DF3" w14:textId="6092A591" w:rsidR="00056C5B" w:rsidRDefault="00056C5B" w:rsidP="00056C5B">
      <w:pPr>
        <w:pStyle w:val="PoliciesText2"/>
      </w:pPr>
      <w:r>
        <w:t xml:space="preserve">This policy describes how NHS Derby and Derbyshire Integrated Care Board (the "ICB") will implement the Government’s Prevent agenda. The Prevent agenda will ensure that: </w:t>
      </w:r>
    </w:p>
    <w:p w14:paraId="09A55577" w14:textId="4D2D6A6C" w:rsidR="00056C5B" w:rsidRDefault="00056C5B" w:rsidP="00056C5B">
      <w:pPr>
        <w:pStyle w:val="PoliciesHeading3"/>
      </w:pPr>
      <w:r>
        <w:t>ICB staff will know how to safeguard and support vulnerable individuals whether service users or staff, who they feel may be at risk of being radicalised by violent extremists;</w:t>
      </w:r>
    </w:p>
    <w:p w14:paraId="55FB2B75" w14:textId="79576D14" w:rsidR="00056C5B" w:rsidRDefault="00056C5B" w:rsidP="00056C5B">
      <w:pPr>
        <w:pStyle w:val="PoliciesHeading3"/>
      </w:pPr>
      <w:r>
        <w:t xml:space="preserve">appropriate systems are in place within the </w:t>
      </w:r>
      <w:r w:rsidR="00B56EEB">
        <w:t>ICB</w:t>
      </w:r>
      <w:r>
        <w:t xml:space="preserve"> for staff to raise concerns if they think this form of exploitation is taking place; and</w:t>
      </w:r>
    </w:p>
    <w:p w14:paraId="63CB8737" w14:textId="70B5AA11" w:rsidR="00056C5B" w:rsidRDefault="00056C5B" w:rsidP="00056C5B">
      <w:pPr>
        <w:pStyle w:val="PoliciesHeading3"/>
      </w:pPr>
      <w:r>
        <w:t xml:space="preserve">the </w:t>
      </w:r>
      <w:r w:rsidR="00B56EEB">
        <w:t>ICB</w:t>
      </w:r>
      <w:r>
        <w:t xml:space="preserve"> will promote and ensure safe environments where violent extremists are unable to operate.</w:t>
      </w:r>
    </w:p>
    <w:p w14:paraId="75CF100C" w14:textId="38EA3331" w:rsidR="00056C5B" w:rsidRDefault="00056C5B" w:rsidP="00056C5B">
      <w:pPr>
        <w:pStyle w:val="PoliciesText2"/>
      </w:pPr>
      <w:r>
        <w:t xml:space="preserve">The </w:t>
      </w:r>
      <w:r w:rsidR="00B56EEB">
        <w:t>ICB</w:t>
      </w:r>
      <w:r>
        <w:t xml:space="preserve"> is committed to safeguarding patients and to working within current national legislation and local arrangements. </w:t>
      </w:r>
      <w:r w:rsidR="00B56EEB">
        <w:t>The ICB</w:t>
      </w:r>
      <w:r>
        <w:t xml:space="preserve"> aims to increase staff awareness of the Prevent Strategy in line with HM Government ‘Prevent – Duty Guidance: for England and Wales 2015’.</w:t>
      </w:r>
    </w:p>
    <w:p w14:paraId="613630B8" w14:textId="54003ECA" w:rsidR="00056C5B" w:rsidRDefault="00056C5B" w:rsidP="005C25BD">
      <w:pPr>
        <w:pStyle w:val="PoliciesText2"/>
      </w:pPr>
      <w:r>
        <w:t xml:space="preserve">The </w:t>
      </w:r>
      <w:r w:rsidR="00B56EEB">
        <w:t>ICB</w:t>
      </w:r>
      <w:r>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w:t>
      </w:r>
      <w:r w:rsidR="002A7F62">
        <w:noBreakHyphen/>
      </w:r>
      <w:r>
        <w:t>economic status, immigration status and the principles of the Human Rights Act.</w:t>
      </w:r>
    </w:p>
    <w:p w14:paraId="061DD106" w14:textId="53D7FA71" w:rsidR="00056C5B" w:rsidRDefault="00056C5B" w:rsidP="005C25BD">
      <w:pPr>
        <w:pStyle w:val="PoliciesText2"/>
      </w:pPr>
      <w:r>
        <w:t xml:space="preserve">In carrying out its functions, the </w:t>
      </w:r>
      <w:r w:rsidR="00B56EEB">
        <w:t>ICB</w:t>
      </w:r>
      <w:r>
        <w:t xml:space="preserve"> is committed to having due regard to the Public Sector Equality Duty. This applies to all the activities for which the </w:t>
      </w:r>
      <w:r w:rsidR="00B56EEB">
        <w:t>ICB</w:t>
      </w:r>
      <w:r>
        <w:t xml:space="preserve"> is responsible, whether internal or on behalf of customers, including policy development and review.</w:t>
      </w:r>
    </w:p>
    <w:p w14:paraId="2B2364DD" w14:textId="6E528039" w:rsidR="00056C5B" w:rsidRDefault="00056C5B" w:rsidP="00056C5B">
      <w:pPr>
        <w:pStyle w:val="PoliciesHeading1"/>
      </w:pPr>
      <w:bookmarkStart w:id="3" w:name="_Toc99112025"/>
      <w:r>
        <w:t>Scope</w:t>
      </w:r>
      <w:bookmarkEnd w:id="3"/>
    </w:p>
    <w:p w14:paraId="1AC36785" w14:textId="77777777" w:rsidR="00056C5B" w:rsidRDefault="00056C5B" w:rsidP="00056C5B">
      <w:pPr>
        <w:pStyle w:val="PoliciesText2"/>
      </w:pPr>
      <w:r>
        <w:t>This policy is intended to provide guidance for managers and staff on the national Prevent agenda and its local implementation. It also sets out information about Prevent and the required local obligations and actions.</w:t>
      </w:r>
    </w:p>
    <w:p w14:paraId="1EB69DA6" w14:textId="44CBF650" w:rsidR="00056C5B" w:rsidRDefault="00056C5B" w:rsidP="00056C5B">
      <w:pPr>
        <w:pStyle w:val="PoliciesText2"/>
      </w:pPr>
      <w:r>
        <w:t xml:space="preserve">This policy applies to all staff working within the </w:t>
      </w:r>
      <w:r w:rsidR="00B56EEB">
        <w:t>ICB</w:t>
      </w:r>
      <w:r>
        <w:t xml:space="preserve">, either directly or indirectly including volunteers and any other person or organisation that uses </w:t>
      </w:r>
      <w:r w:rsidR="00B56EEB">
        <w:t>ICB</w:t>
      </w:r>
      <w:r>
        <w:t>’s premises for any purpose.</w:t>
      </w:r>
    </w:p>
    <w:p w14:paraId="79DB0C0A" w14:textId="5D62832E" w:rsidR="00056C5B" w:rsidRDefault="00056C5B" w:rsidP="00056C5B">
      <w:pPr>
        <w:pStyle w:val="PoliciesText2"/>
      </w:pPr>
      <w:r>
        <w:t xml:space="preserve">Preventing someone from becoming a terrorist or supporting terrorism is no different from safeguarding adults from other forms of exploitation. Therefore, this policy </w:t>
      </w:r>
      <w:r>
        <w:lastRenderedPageBreak/>
        <w:t>should be read in conjunction with the ICB's Safeguarding Adults Policy and the ICB's Safeguarding Children’s policy.</w:t>
      </w:r>
    </w:p>
    <w:p w14:paraId="7070E37C" w14:textId="7EC2FF39" w:rsidR="00056C5B" w:rsidRDefault="00056C5B" w:rsidP="00056C5B">
      <w:pPr>
        <w:pStyle w:val="PoliciesHeading1"/>
      </w:pPr>
      <w:bookmarkStart w:id="4" w:name="_Toc99112026"/>
      <w:r>
        <w:t>Introduction</w:t>
      </w:r>
      <w:bookmarkEnd w:id="4"/>
    </w:p>
    <w:p w14:paraId="213A7858" w14:textId="19C6318C" w:rsidR="00056C5B" w:rsidRDefault="00056C5B" w:rsidP="00056C5B">
      <w:pPr>
        <w:pStyle w:val="PoliciesText2"/>
      </w:pPr>
      <w:r>
        <w:t xml:space="preserve">As part of the Governments updated Counter Terrorism strategy (CONTEST 2018) Prevent is clearly highlighted as safeguarding the NHS. </w:t>
      </w:r>
    </w:p>
    <w:p w14:paraId="16C59E6C" w14:textId="6D69B6D4" w:rsidR="00056C5B" w:rsidRPr="00056C5B" w:rsidRDefault="00056C5B" w:rsidP="00056C5B">
      <w:pPr>
        <w:ind w:left="1134"/>
        <w:rPr>
          <w:i/>
          <w:iCs/>
        </w:rPr>
      </w:pPr>
      <w:r w:rsidRPr="00056C5B">
        <w:rPr>
          <w:i/>
          <w:iCs/>
        </w:rPr>
        <w:t>"The purpose of Prevent is at its heart to safeguard and support vulnerable people to stop them from becoming terrorists or supporting terrorism. Our Prevent work also extends to supporting the rehabilitation and disengagement of those already involved in terrorism. Prevent works in a similar way to programmes designed to safeguard people from gangs, drug abuse, and physical and sexual abuse. Success means an enhanced response to tackle the causes of radicalisation, in communities and online; continued effective support to those who are vulnerable to radicalisation; and disengagement from terrorist activities by those already engaged in or supporters of terrorism." (CONTEST 2018)</w:t>
      </w:r>
    </w:p>
    <w:p w14:paraId="68E709EE" w14:textId="4CA04550" w:rsidR="00056C5B" w:rsidRDefault="00056C5B" w:rsidP="00056C5B">
      <w:pPr>
        <w:pStyle w:val="PoliciesText2"/>
      </w:pPr>
      <w:r>
        <w:t>CONTEST aims to reduce the risk we face from terrorism so that people can go about their lives freely and with confidence.  It is made up of four work streams, or four Ps:</w:t>
      </w:r>
    </w:p>
    <w:p w14:paraId="5A26C96C" w14:textId="24910EC3" w:rsidR="00056C5B" w:rsidRDefault="00056C5B" w:rsidP="00056C5B">
      <w:pPr>
        <w:pStyle w:val="PoliciesHeading3"/>
      </w:pPr>
      <w:r w:rsidRPr="00056C5B">
        <w:rPr>
          <w:u w:val="single"/>
        </w:rPr>
        <w:t>Protect:</w:t>
      </w:r>
      <w:r>
        <w:t xml:space="preserve"> strengthening our borders, infrastructure, buildings and public spaces;</w:t>
      </w:r>
    </w:p>
    <w:p w14:paraId="1D0A12A6" w14:textId="6BF01F29" w:rsidR="00056C5B" w:rsidRDefault="00056C5B" w:rsidP="00056C5B">
      <w:pPr>
        <w:pStyle w:val="PoliciesHeading3"/>
      </w:pPr>
      <w:r w:rsidRPr="00056C5B">
        <w:rPr>
          <w:u w:val="single"/>
        </w:rPr>
        <w:t>Prepare:</w:t>
      </w:r>
      <w:r>
        <w:t xml:space="preserve"> where an attack cannot be stopped, to reduce its impact;</w:t>
      </w:r>
    </w:p>
    <w:p w14:paraId="2F3E7121" w14:textId="77777777" w:rsidR="00056C5B" w:rsidRDefault="00056C5B" w:rsidP="00056C5B">
      <w:pPr>
        <w:pStyle w:val="PoliciesHeading3"/>
      </w:pPr>
      <w:r w:rsidRPr="00056C5B">
        <w:rPr>
          <w:u w:val="single"/>
        </w:rPr>
        <w:t>Pursue:</w:t>
      </w:r>
      <w:r>
        <w:t xml:space="preserve"> to disrupt or stop terrorist attacks; and</w:t>
      </w:r>
    </w:p>
    <w:p w14:paraId="47A772C6" w14:textId="13F99683" w:rsidR="00056C5B" w:rsidRDefault="00056C5B" w:rsidP="00056C5B">
      <w:pPr>
        <w:pStyle w:val="PoliciesHeading3"/>
      </w:pPr>
      <w:r>
        <w:t xml:space="preserve">The fourth P is </w:t>
      </w:r>
      <w:r w:rsidRPr="00056C5B">
        <w:rPr>
          <w:u w:val="single"/>
        </w:rPr>
        <w:t>Prevent</w:t>
      </w:r>
      <w:r>
        <w:t xml:space="preserve"> which aims to stop people becoming terrorists or supporting terrorism.</w:t>
      </w:r>
    </w:p>
    <w:p w14:paraId="392B282B" w14:textId="715030C6" w:rsidR="00056C5B" w:rsidRDefault="00056C5B" w:rsidP="00056C5B">
      <w:pPr>
        <w:pStyle w:val="PoliciesText2"/>
      </w:pPr>
      <w:r>
        <w:t>The Prevent Duty Guidance for specified authorities which includes the NHS became statutory in July 2015 outlining their duty in the Counter-Terrorism and Security Act 2015. It explains that in the exercise of their everyday functions, they must have due regard to the need to prevent people from being drawn into terrorism.</w:t>
      </w:r>
    </w:p>
    <w:p w14:paraId="2CB903EE" w14:textId="77777777" w:rsidR="00056C5B" w:rsidRDefault="00056C5B" w:rsidP="00056C5B">
      <w:pPr>
        <w:pStyle w:val="PoliciesText2"/>
      </w:pPr>
      <w:r>
        <w:t>The Health Service is a key partner in PREVENT and encompasses all parts of the NHS, charitable organisations and private sector bodies which deliver health services to NHS patients.</w:t>
      </w:r>
    </w:p>
    <w:p w14:paraId="01D3694C" w14:textId="408418FA" w:rsidR="00056C5B" w:rsidRDefault="00056C5B" w:rsidP="00056C5B">
      <w:pPr>
        <w:pStyle w:val="PoliciesText2"/>
      </w:pPr>
      <w:r>
        <w:t xml:space="preserve">PREVENT has </w:t>
      </w:r>
      <w:r w:rsidR="00C576C0">
        <w:t>three</w:t>
      </w:r>
      <w:r>
        <w:t xml:space="preserve"> national objectives:</w:t>
      </w:r>
    </w:p>
    <w:p w14:paraId="5F7AF826" w14:textId="77777777" w:rsidR="00056C5B" w:rsidRDefault="00056C5B" w:rsidP="00056C5B">
      <w:pPr>
        <w:pStyle w:val="PoliciesHeading3"/>
      </w:pPr>
      <w:r w:rsidRPr="00056C5B">
        <w:rPr>
          <w:u w:val="single"/>
        </w:rPr>
        <w:t>Objective 1:</w:t>
      </w:r>
      <w:r>
        <w:t xml:space="preserve"> Tackle the causes of radicalisation and respond to the ideological challenge of terrorism.</w:t>
      </w:r>
    </w:p>
    <w:p w14:paraId="7DB7F99D" w14:textId="77777777" w:rsidR="00056C5B" w:rsidRDefault="00056C5B" w:rsidP="00056C5B">
      <w:pPr>
        <w:pStyle w:val="PoliciesHeading3"/>
      </w:pPr>
      <w:r w:rsidRPr="00056C5B">
        <w:rPr>
          <w:u w:val="single"/>
        </w:rPr>
        <w:t>Objective 2:</w:t>
      </w:r>
      <w:r>
        <w:t xml:space="preserve"> Safeguard and support those most at risk of radicalisation through early intervention, identifying them and offering support.</w:t>
      </w:r>
    </w:p>
    <w:p w14:paraId="324DA640" w14:textId="77777777" w:rsidR="00056C5B" w:rsidRDefault="00056C5B" w:rsidP="00056C5B">
      <w:pPr>
        <w:pStyle w:val="PoliciesHeading3"/>
      </w:pPr>
      <w:r w:rsidRPr="00056C5B">
        <w:rPr>
          <w:u w:val="single"/>
        </w:rPr>
        <w:t>Objective 3:</w:t>
      </w:r>
      <w:r>
        <w:t xml:space="preserve"> Enable those who have already engaged in terrorism to disengage and rehabilitate.</w:t>
      </w:r>
    </w:p>
    <w:p w14:paraId="72EA4DE1" w14:textId="0E002C16" w:rsidR="00056C5B" w:rsidRDefault="00056C5B" w:rsidP="00B56EEB">
      <w:pPr>
        <w:pStyle w:val="PoliciesText2"/>
      </w:pPr>
      <w:r>
        <w:lastRenderedPageBreak/>
        <w:t>The Health Sector contribution to PREVENT will focus primarily on Objectives 2 and 3 above particularly in the training.</w:t>
      </w:r>
    </w:p>
    <w:p w14:paraId="104E544E" w14:textId="37A80343" w:rsidR="00056C5B" w:rsidRDefault="00056C5B" w:rsidP="00B56EEB">
      <w:pPr>
        <w:pStyle w:val="PoliciesText2"/>
      </w:pPr>
      <w:r>
        <w:t>Every member of staff has a role to play in protecting and supporting vulnerable individuals and colleagues who are at risk of radicalisation.</w:t>
      </w:r>
    </w:p>
    <w:p w14:paraId="621AE741" w14:textId="6FC0114D" w:rsidR="00056C5B" w:rsidRDefault="00056C5B" w:rsidP="00B56EEB">
      <w:pPr>
        <w:pStyle w:val="PoliciesHeading1"/>
      </w:pPr>
      <w:bookmarkStart w:id="5" w:name="_Toc99112027"/>
      <w:r>
        <w:t xml:space="preserve">Implications for the NHS &amp; </w:t>
      </w:r>
      <w:r w:rsidR="00B56EEB">
        <w:t>ICB</w:t>
      </w:r>
      <w:bookmarkEnd w:id="5"/>
    </w:p>
    <w:p w14:paraId="014DAD58" w14:textId="77777777" w:rsidR="00B56EEB" w:rsidRDefault="00B56EEB" w:rsidP="00B56EEB">
      <w:pPr>
        <w:pStyle w:val="PoliciesText2"/>
      </w:pPr>
      <w:r>
        <w:t>The ICB</w:t>
      </w:r>
      <w:r w:rsidR="00056C5B">
        <w:t xml:space="preserve"> is committed to ensuring vulnerable individuals are safeguarded from supporting terrorism through radicalisation as part of the </w:t>
      </w:r>
      <w:proofErr w:type="gramStart"/>
      <w:r w:rsidR="00056C5B">
        <w:t>Home</w:t>
      </w:r>
      <w:proofErr w:type="gramEnd"/>
      <w:r w:rsidR="00056C5B">
        <w:t xml:space="preserve"> Office counter-terrorism strategy Prevent. Due to recent activity throughout the UK, there is a clear need for our organisation to support the Prevent programme. </w:t>
      </w:r>
    </w:p>
    <w:p w14:paraId="015FF5B7" w14:textId="08ECD901" w:rsidR="00056C5B" w:rsidRDefault="00B56EEB" w:rsidP="00B56EEB">
      <w:pPr>
        <w:pStyle w:val="PoliciesText2"/>
      </w:pPr>
      <w:r>
        <w:t>The ICB</w:t>
      </w:r>
      <w:r w:rsidR="00056C5B">
        <w:t xml:space="preserve"> is aiming to raise awareness of staff member’s roles in relation to children, young people, and adults who are vulnerable to radicalisation.</w:t>
      </w:r>
    </w:p>
    <w:p w14:paraId="227DA0DD" w14:textId="0A09A994" w:rsidR="00056C5B" w:rsidRDefault="00056C5B" w:rsidP="00B56EEB">
      <w:pPr>
        <w:pStyle w:val="PoliciesText2"/>
      </w:pPr>
      <w:r>
        <w:t>All staff have a responsibility to help</w:t>
      </w:r>
      <w:r w:rsidR="00B56EEB">
        <w:t xml:space="preserve"> the ICB</w:t>
      </w:r>
      <w:r>
        <w:t xml:space="preserve"> </w:t>
      </w:r>
      <w:r w:rsidR="00C576C0">
        <w:t>fulfil</w:t>
      </w:r>
      <w:r>
        <w:t xml:space="preserve"> its obligation to minimise risks by identifying and supporting adults and children who may be prone to exploitation or radicalisation from violent extremism.</w:t>
      </w:r>
    </w:p>
    <w:p w14:paraId="7DBF7EAD" w14:textId="3DD048DF" w:rsidR="00056C5B" w:rsidRDefault="00056C5B" w:rsidP="00B56EEB">
      <w:pPr>
        <w:pStyle w:val="PoliciesText2"/>
      </w:pPr>
      <w:r>
        <w:t>The Prevent objectives focus on support, trust and confidence, both in ourselves and in those around us.</w:t>
      </w:r>
    </w:p>
    <w:p w14:paraId="5ED7736A" w14:textId="135D16A3" w:rsidR="00056C5B" w:rsidRDefault="00056C5B" w:rsidP="00B56EEB">
      <w:pPr>
        <w:pStyle w:val="PoliciesText2"/>
      </w:pPr>
      <w:r>
        <w:t xml:space="preserve">With over 315,000 patient contacts every day, the NHS has a key part to play in keeping patients safe. </w:t>
      </w:r>
      <w:r w:rsidR="00C576C0">
        <w:t>T</w:t>
      </w:r>
      <w:r>
        <w:t>he Police play a part by pursuing those involved in terrorist activity and crime; whilst the NHS must work with key stakeholders toward preventing people from being radicalised in the non-criminal space when a potential crime has yet to be committed.</w:t>
      </w:r>
    </w:p>
    <w:p w14:paraId="0D999276" w14:textId="22104F09" w:rsidR="00056C5B" w:rsidRDefault="00056C5B" w:rsidP="00B56EEB">
      <w:pPr>
        <w:pStyle w:val="PoliciesText2"/>
      </w:pPr>
      <w:r>
        <w:t xml:space="preserve">A Workshop to Raise Awareness of Prevent (WRAP) has been devised to give staff a better understanding of Prevent, reporting procedures, multi-agency arrangements and key indicators of what makes someone vulnerable or susceptible to radicalisation.  </w:t>
      </w:r>
    </w:p>
    <w:p w14:paraId="7751B801" w14:textId="0940C77F" w:rsidR="00056C5B" w:rsidRDefault="00B56EEB" w:rsidP="00B56EEB">
      <w:pPr>
        <w:pStyle w:val="PoliciesText2"/>
      </w:pPr>
      <w:r>
        <w:t>The ICB</w:t>
      </w:r>
      <w:r w:rsidR="00056C5B">
        <w:t xml:space="preserve"> provides training to all of their staff.  All NHS contracts now include a section on Prevent so </w:t>
      </w:r>
      <w:r>
        <w:t>ICB</w:t>
      </w:r>
      <w:r w:rsidR="00056C5B">
        <w:t xml:space="preserve"> commissioners and contract holders need to ensure this is adhered to and is covered in any quality assurance of the contract.  </w:t>
      </w:r>
    </w:p>
    <w:p w14:paraId="57ECFAEB" w14:textId="2BF8A652" w:rsidR="00056C5B" w:rsidRDefault="00056C5B" w:rsidP="00B56EEB">
      <w:pPr>
        <w:pStyle w:val="PoliciesHeading1"/>
      </w:pPr>
      <w:bookmarkStart w:id="6" w:name="_Toc99112028"/>
      <w:r>
        <w:t xml:space="preserve">Responsibility </w:t>
      </w:r>
      <w:r w:rsidR="00C576C0">
        <w:t>and</w:t>
      </w:r>
      <w:r>
        <w:t xml:space="preserve"> Duties</w:t>
      </w:r>
      <w:bookmarkEnd w:id="6"/>
    </w:p>
    <w:p w14:paraId="23A789CA" w14:textId="650736F7" w:rsidR="00056C5B" w:rsidRDefault="00056C5B" w:rsidP="00B56EEB">
      <w:pPr>
        <w:pStyle w:val="PoliciesHeading2"/>
      </w:pPr>
      <w:bookmarkStart w:id="7" w:name="_Toc99112029"/>
      <w:r>
        <w:t xml:space="preserve">Chief </w:t>
      </w:r>
      <w:r w:rsidR="00B56EEB">
        <w:t xml:space="preserve">Executive </w:t>
      </w:r>
      <w:r>
        <w:t>Officer/Chief Nurse</w:t>
      </w:r>
      <w:r w:rsidR="00B56EEB">
        <w:t xml:space="preserve"> Officer</w:t>
      </w:r>
      <w:bookmarkEnd w:id="7"/>
    </w:p>
    <w:p w14:paraId="41FE5EF0" w14:textId="29EC2DA0" w:rsidR="00056C5B" w:rsidRDefault="00056C5B" w:rsidP="00B56EEB">
      <w:pPr>
        <w:ind w:left="851"/>
      </w:pPr>
      <w:r>
        <w:t xml:space="preserve">The Chief </w:t>
      </w:r>
      <w:r w:rsidR="00B56EEB">
        <w:t xml:space="preserve">Executive </w:t>
      </w:r>
      <w:r>
        <w:t xml:space="preserve">Officer along with the Chief Nurse </w:t>
      </w:r>
      <w:r w:rsidR="00B56EEB">
        <w:t xml:space="preserve">Officer </w:t>
      </w:r>
      <w:r>
        <w:t xml:space="preserve">is responsible for identifying an Executive Lead for Prevent and ensuring </w:t>
      </w:r>
      <w:r w:rsidR="00B56EEB">
        <w:t>the ICB</w:t>
      </w:r>
      <w:r>
        <w:t xml:space="preserve"> meets its contractual and safeguarding obligations.</w:t>
      </w:r>
    </w:p>
    <w:p w14:paraId="76FF2F75" w14:textId="4B528BB1" w:rsidR="00056C5B" w:rsidRDefault="00056C5B" w:rsidP="00B56EEB">
      <w:pPr>
        <w:pStyle w:val="PoliciesHeading2"/>
      </w:pPr>
      <w:bookmarkStart w:id="8" w:name="_Toc99112030"/>
      <w:r>
        <w:lastRenderedPageBreak/>
        <w:t>Assistant Director for Safeguarding Adults (</w:t>
      </w:r>
      <w:r w:rsidR="00B56EEB">
        <w:t>ICB</w:t>
      </w:r>
      <w:r>
        <w:t xml:space="preserve"> Prevent Lead)</w:t>
      </w:r>
      <w:bookmarkEnd w:id="8"/>
    </w:p>
    <w:p w14:paraId="5F6AA3EF" w14:textId="77777777" w:rsidR="00056C5B" w:rsidRDefault="00056C5B" w:rsidP="00B56EEB">
      <w:pPr>
        <w:keepNext/>
        <w:ind w:left="851"/>
      </w:pPr>
      <w:r>
        <w:t>As the Identified Prevent Lead for the Organisation responsibilities include:</w:t>
      </w:r>
    </w:p>
    <w:p w14:paraId="7A994077" w14:textId="57A9A112" w:rsidR="00056C5B" w:rsidRDefault="00B56EEB" w:rsidP="00B56EEB">
      <w:pPr>
        <w:pStyle w:val="PoliciesHeading3"/>
      </w:pPr>
      <w:r>
        <w:t>e</w:t>
      </w:r>
      <w:r w:rsidR="00056C5B">
        <w:t>nsuring that organisational policies support core organisational values and support staff in raising genuine concerns</w:t>
      </w:r>
      <w:r>
        <w:t>;</w:t>
      </w:r>
    </w:p>
    <w:p w14:paraId="2E5442BA" w14:textId="6FF4249F" w:rsidR="00056C5B" w:rsidRDefault="00B56EEB" w:rsidP="00B56EEB">
      <w:pPr>
        <w:pStyle w:val="PoliciesHeading3"/>
      </w:pPr>
      <w:r>
        <w:t>e</w:t>
      </w:r>
      <w:r w:rsidR="00056C5B">
        <w:t>nsuring that staff know how to safely escalate any concerns relating to a patient, a colleague or a member of the public</w:t>
      </w:r>
      <w:r>
        <w:t>;</w:t>
      </w:r>
    </w:p>
    <w:p w14:paraId="55204D42" w14:textId="2884E320" w:rsidR="00056C5B" w:rsidRDefault="00B56EEB" w:rsidP="00B56EEB">
      <w:pPr>
        <w:pStyle w:val="PoliciesHeading3"/>
      </w:pPr>
      <w:r>
        <w:t>b</w:t>
      </w:r>
      <w:r w:rsidR="00056C5B">
        <w:t>uilding and strengthening local partnerships and interagency working to prevent vulnerable individuals from becoming victims or the perpetrators of harm</w:t>
      </w:r>
      <w:r>
        <w:t>;</w:t>
      </w:r>
    </w:p>
    <w:p w14:paraId="76616E32" w14:textId="4D380E14" w:rsidR="00056C5B" w:rsidRDefault="00B56EEB" w:rsidP="00B56EEB">
      <w:pPr>
        <w:pStyle w:val="PoliciesHeading3"/>
      </w:pPr>
      <w:r>
        <w:t>e</w:t>
      </w:r>
      <w:r w:rsidR="00056C5B">
        <w:t xml:space="preserve">nsuring that the </w:t>
      </w:r>
      <w:r>
        <w:t xml:space="preserve">ICB </w:t>
      </w:r>
      <w:r w:rsidR="00056C5B">
        <w:t>is represented and actively participates at local Prevent Strategic Forums</w:t>
      </w:r>
      <w:r>
        <w:t>;</w:t>
      </w:r>
    </w:p>
    <w:p w14:paraId="6E3E142B" w14:textId="3D6D86FC" w:rsidR="00056C5B" w:rsidRDefault="00B56EEB" w:rsidP="00B56EEB">
      <w:pPr>
        <w:pStyle w:val="PoliciesHeading3"/>
      </w:pPr>
      <w:r>
        <w:t>l</w:t>
      </w:r>
      <w:r w:rsidR="00056C5B">
        <w:t xml:space="preserve">iaising with appropriate external partner agencies to ensure the successful implementation of the Prevent </w:t>
      </w:r>
      <w:r>
        <w:t>Strategy;</w:t>
      </w:r>
    </w:p>
    <w:p w14:paraId="23C64E80" w14:textId="6A310C19" w:rsidR="00056C5B" w:rsidRDefault="00B56EEB" w:rsidP="00B56EEB">
      <w:pPr>
        <w:pStyle w:val="PoliciesHeading3"/>
      </w:pPr>
      <w:r>
        <w:t>i</w:t>
      </w:r>
      <w:r w:rsidR="00056C5B">
        <w:t>dentify</w:t>
      </w:r>
      <w:r>
        <w:t>ing</w:t>
      </w:r>
      <w:r w:rsidR="00056C5B">
        <w:t xml:space="preserve"> individual safeguarding professionals to undertake the</w:t>
      </w:r>
      <w:r>
        <w:t xml:space="preserve"> </w:t>
      </w:r>
      <w:r w:rsidR="00056C5B">
        <w:t>Government’s accredited staff training programme</w:t>
      </w:r>
      <w:r>
        <w:t>; and</w:t>
      </w:r>
    </w:p>
    <w:p w14:paraId="6686A92A" w14:textId="27C4D641" w:rsidR="00056C5B" w:rsidRDefault="00B56EEB" w:rsidP="00B56EEB">
      <w:pPr>
        <w:pStyle w:val="PoliciesHeading3"/>
      </w:pPr>
      <w:r>
        <w:t>e</w:t>
      </w:r>
      <w:r w:rsidR="00056C5B">
        <w:t>nsur</w:t>
      </w:r>
      <w:r>
        <w:t>ing</w:t>
      </w:r>
      <w:r w:rsidR="00056C5B">
        <w:t xml:space="preserve"> that </w:t>
      </w:r>
      <w:proofErr w:type="gramStart"/>
      <w:r w:rsidR="00056C5B">
        <w:t>Prevent</w:t>
      </w:r>
      <w:proofErr w:type="gramEnd"/>
      <w:r w:rsidR="00056C5B">
        <w:t xml:space="preserve"> is referenced in safeguarding and other relevant policies.</w:t>
      </w:r>
    </w:p>
    <w:p w14:paraId="4D1EEEEE" w14:textId="392E6EB6" w:rsidR="00056C5B" w:rsidRDefault="00056C5B" w:rsidP="00B56EEB">
      <w:pPr>
        <w:pStyle w:val="PoliciesHeading2"/>
      </w:pPr>
      <w:bookmarkStart w:id="9" w:name="_Toc99112031"/>
      <w:r>
        <w:t>Safeguarding Adults Manager (</w:t>
      </w:r>
      <w:r w:rsidR="00B56EEB">
        <w:t>ICB</w:t>
      </w:r>
      <w:r>
        <w:t>)</w:t>
      </w:r>
      <w:bookmarkEnd w:id="9"/>
    </w:p>
    <w:p w14:paraId="25A53E42" w14:textId="455A204C" w:rsidR="00056C5B" w:rsidRDefault="00056C5B" w:rsidP="00B56EEB">
      <w:pPr>
        <w:pStyle w:val="PoliciesHeading3"/>
      </w:pPr>
      <w:r>
        <w:t>To support the Assistant Director for Safeguarding Adults in the delivery of the above as appropriate.</w:t>
      </w:r>
    </w:p>
    <w:p w14:paraId="1D6E8F3C" w14:textId="10F28E4D" w:rsidR="00056C5B" w:rsidRDefault="00056C5B" w:rsidP="00B56EEB">
      <w:pPr>
        <w:pStyle w:val="PoliciesHeading3"/>
      </w:pPr>
      <w:r>
        <w:t>To support the implementation and distribution of the Prevent Policy.</w:t>
      </w:r>
    </w:p>
    <w:p w14:paraId="1AB35429" w14:textId="629A4DE9" w:rsidR="00056C5B" w:rsidRDefault="00056C5B" w:rsidP="00B56EEB">
      <w:pPr>
        <w:pStyle w:val="PoliciesHeading3"/>
      </w:pPr>
      <w:r>
        <w:t>To support the delivery and evaluation of the training programme.</w:t>
      </w:r>
    </w:p>
    <w:p w14:paraId="44CBDA92" w14:textId="5B6E9145" w:rsidR="00056C5B" w:rsidRDefault="00056C5B" w:rsidP="00B56EEB">
      <w:pPr>
        <w:pStyle w:val="PoliciesHeading3"/>
      </w:pPr>
      <w:r>
        <w:t>To advise and support those staff who report concerns relating to Prevent.</w:t>
      </w:r>
    </w:p>
    <w:p w14:paraId="4A3430B8" w14:textId="7F310C96" w:rsidR="00056C5B" w:rsidRDefault="00056C5B" w:rsidP="00B56EEB">
      <w:pPr>
        <w:pStyle w:val="PoliciesHeading3"/>
      </w:pPr>
      <w:r>
        <w:t>Raise an awareness of Prevent through safeguarding training and bespoke communications.</w:t>
      </w:r>
    </w:p>
    <w:p w14:paraId="1222C471" w14:textId="40FE4E00" w:rsidR="00056C5B" w:rsidRDefault="00056C5B" w:rsidP="00B56EEB">
      <w:pPr>
        <w:pStyle w:val="PoliciesHeading3"/>
      </w:pPr>
      <w:r>
        <w:t>Liaise with external agencies ensuring effective information sharing and collaboration within the operational referral process.</w:t>
      </w:r>
    </w:p>
    <w:p w14:paraId="7EA04E55" w14:textId="0EE17BD9" w:rsidR="00056C5B" w:rsidRDefault="00056C5B" w:rsidP="00B56EEB">
      <w:pPr>
        <w:pStyle w:val="PoliciesHeading3"/>
      </w:pPr>
      <w:r>
        <w:t xml:space="preserve">Ensure the </w:t>
      </w:r>
      <w:r w:rsidR="00B56EEB">
        <w:t>ICB</w:t>
      </w:r>
      <w:r>
        <w:t xml:space="preserve"> website is updated with prevent information as appropriate.</w:t>
      </w:r>
    </w:p>
    <w:p w14:paraId="3CE51EA3" w14:textId="58FB1A1C" w:rsidR="00056C5B" w:rsidRDefault="00056C5B" w:rsidP="00B56EEB">
      <w:pPr>
        <w:pStyle w:val="PoliciesHeading2"/>
      </w:pPr>
      <w:bookmarkStart w:id="10" w:name="_Toc99112032"/>
      <w:r>
        <w:t>Senior Managers</w:t>
      </w:r>
      <w:bookmarkEnd w:id="10"/>
    </w:p>
    <w:p w14:paraId="55A4CC7F" w14:textId="34259BC2" w:rsidR="00056C5B" w:rsidRDefault="00056C5B" w:rsidP="00B56EEB">
      <w:pPr>
        <w:pStyle w:val="PoliciesHeading3"/>
      </w:pPr>
      <w:r>
        <w:t>Support the implementation of the Prevent policy within their areas of responsibility.</w:t>
      </w:r>
    </w:p>
    <w:p w14:paraId="4D2D5D00" w14:textId="21D5376C" w:rsidR="00056C5B" w:rsidRDefault="00056C5B" w:rsidP="00B56EEB">
      <w:pPr>
        <w:pStyle w:val="PoliciesHeading3"/>
      </w:pPr>
      <w:r>
        <w:t>Release staff to attend a Workshop to Raise Awareness of Prevent training.</w:t>
      </w:r>
    </w:p>
    <w:p w14:paraId="537C9F70" w14:textId="0BBBEAD3" w:rsidR="00056C5B" w:rsidRDefault="00056C5B" w:rsidP="00B56EEB">
      <w:pPr>
        <w:pStyle w:val="PoliciesHeading2"/>
      </w:pPr>
      <w:bookmarkStart w:id="11" w:name="_Toc99112033"/>
      <w:r>
        <w:t>All Staff</w:t>
      </w:r>
      <w:bookmarkEnd w:id="11"/>
    </w:p>
    <w:p w14:paraId="090A6AC8" w14:textId="1EF6998C" w:rsidR="00056C5B" w:rsidRDefault="00056C5B" w:rsidP="00B56EEB">
      <w:pPr>
        <w:pStyle w:val="PoliciesHeading3"/>
      </w:pPr>
      <w:r>
        <w:t>Report all related concerns to their Manager/Safeguarding Professionals.</w:t>
      </w:r>
    </w:p>
    <w:p w14:paraId="2D9DEAA1" w14:textId="7B33121E" w:rsidR="00056C5B" w:rsidRDefault="00056C5B" w:rsidP="00B56EEB">
      <w:pPr>
        <w:pStyle w:val="PoliciesHeading3"/>
      </w:pPr>
      <w:r>
        <w:lastRenderedPageBreak/>
        <w:t xml:space="preserve">Be aware of their responsibilities as commissioners and holders of NHS contracts on behalf of </w:t>
      </w:r>
      <w:r w:rsidR="00B56EEB">
        <w:t>the ICB</w:t>
      </w:r>
      <w:r>
        <w:t xml:space="preserve">. All NHS contracts now include a section on Prevent so </w:t>
      </w:r>
      <w:r w:rsidR="00B56EEB">
        <w:t>ICB</w:t>
      </w:r>
      <w:r>
        <w:t xml:space="preserve"> commissioners and contract holders need to ensure this is adhered to and is covered in any quality assurance of the contract.</w:t>
      </w:r>
    </w:p>
    <w:p w14:paraId="703801A2" w14:textId="43F49C29" w:rsidR="00056C5B" w:rsidRDefault="00056C5B" w:rsidP="00B56EEB">
      <w:pPr>
        <w:pStyle w:val="PoliciesHeading3"/>
      </w:pPr>
      <w:r>
        <w:t>Must be compliant with the content of the</w:t>
      </w:r>
      <w:r w:rsidR="00B56EEB">
        <w:t xml:space="preserve"> ICB </w:t>
      </w:r>
      <w:r>
        <w:t>Prevent Policy and Procedures.</w:t>
      </w:r>
    </w:p>
    <w:p w14:paraId="34C5343B" w14:textId="2C777E8A" w:rsidR="00056C5B" w:rsidRDefault="00056C5B" w:rsidP="00B56EEB">
      <w:pPr>
        <w:pStyle w:val="PoliciesHeading3"/>
      </w:pPr>
      <w:r>
        <w:t xml:space="preserve">Undertake relevant Prevent training (every </w:t>
      </w:r>
      <w:r w:rsidR="00C576C0">
        <w:t>three</w:t>
      </w:r>
      <w:r>
        <w:t xml:space="preserve"> years) as stipulated by </w:t>
      </w:r>
      <w:r w:rsidR="00B56EEB">
        <w:t>the ICB</w:t>
      </w:r>
      <w:r>
        <w:t>.</w:t>
      </w:r>
    </w:p>
    <w:p w14:paraId="57802C96" w14:textId="162270F8" w:rsidR="00056C5B" w:rsidRDefault="00056C5B" w:rsidP="00B56EEB">
      <w:pPr>
        <w:pStyle w:val="PoliciesHeading2"/>
      </w:pPr>
      <w:bookmarkStart w:id="12" w:name="_Toc99112034"/>
      <w:r>
        <w:t>Staff Training</w:t>
      </w:r>
      <w:bookmarkEnd w:id="12"/>
    </w:p>
    <w:p w14:paraId="6070FCED" w14:textId="257F5BCC" w:rsidR="00056C5B" w:rsidRDefault="00056C5B" w:rsidP="00B56EEB">
      <w:pPr>
        <w:ind w:left="851"/>
      </w:pPr>
      <w:r>
        <w:t>To ensure contractual obligation</w:t>
      </w:r>
      <w:r w:rsidR="00B56EEB">
        <w:t xml:space="preserve"> the ICB</w:t>
      </w:r>
      <w:r>
        <w:t xml:space="preserve"> will follow the guidance provided within The NHS England Prevent Training and Competencies Framework (2015) which provides clarity on the level of training required for healthcare workers.</w:t>
      </w:r>
    </w:p>
    <w:p w14:paraId="4E1AA6D0" w14:textId="303EBD95" w:rsidR="00056C5B" w:rsidRDefault="00056C5B" w:rsidP="00B56EEB">
      <w:pPr>
        <w:pStyle w:val="PoliciesHeading1"/>
      </w:pPr>
      <w:bookmarkStart w:id="13" w:name="_Toc99112035"/>
      <w:r>
        <w:t>Supporting References/Evidence Base</w:t>
      </w:r>
      <w:bookmarkEnd w:id="13"/>
      <w:r>
        <w:t xml:space="preserve"> </w:t>
      </w:r>
    </w:p>
    <w:p w14:paraId="5C60C771" w14:textId="77777777" w:rsidR="00056C5B" w:rsidRDefault="00056C5B" w:rsidP="00B56EEB">
      <w:pPr>
        <w:ind w:left="567"/>
      </w:pPr>
      <w:r>
        <w:t>Building Partnerships, Staying Safe. The health sector contribution to HM Government’s PREVENT Strategy; guidance for healthcare organisations (2011)</w:t>
      </w:r>
    </w:p>
    <w:p w14:paraId="5732C57F" w14:textId="4582825A" w:rsidR="00056C5B" w:rsidRDefault="003D1BEE" w:rsidP="00B56EEB">
      <w:pPr>
        <w:ind w:left="567"/>
      </w:pPr>
      <w:hyperlink r:id="rId12" w:history="1">
        <w:r w:rsidR="00B56EEB" w:rsidRPr="00CB4243">
          <w:rPr>
            <w:rStyle w:val="Hyperlink"/>
          </w:rPr>
          <w:t>https://www.gov.uk/government/uploads/system/uploads/attachment_data/file/215251/dh_131934.pdf</w:t>
        </w:r>
      </w:hyperlink>
      <w:r w:rsidR="00B56EEB">
        <w:t xml:space="preserve"> </w:t>
      </w:r>
    </w:p>
    <w:p w14:paraId="1EDC6E19" w14:textId="1EFD8F25" w:rsidR="00056C5B" w:rsidRDefault="00056C5B" w:rsidP="00B56EEB">
      <w:pPr>
        <w:ind w:left="567"/>
      </w:pPr>
      <w:r>
        <w:t xml:space="preserve">Building Partnerships, Staying Safe. The health sector contribution to HM Government’s PREVENT Strategy; guidance for healthcare workers (2011) </w:t>
      </w:r>
    </w:p>
    <w:p w14:paraId="6D3E7160" w14:textId="356F4B51" w:rsidR="00056C5B" w:rsidRDefault="003D1BEE" w:rsidP="00B56EEB">
      <w:pPr>
        <w:ind w:left="567"/>
      </w:pPr>
      <w:hyperlink r:id="rId13" w:history="1">
        <w:r w:rsidR="00B56EEB" w:rsidRPr="00CB4243">
          <w:rPr>
            <w:rStyle w:val="Hyperlink"/>
          </w:rPr>
          <w:t>https://www.gov.uk/government/publications/building-partnerships-staying-safe-guidance-for-healthcare-organisations</w:t>
        </w:r>
      </w:hyperlink>
      <w:r w:rsidR="00B56EEB">
        <w:t xml:space="preserve"> </w:t>
      </w:r>
    </w:p>
    <w:p w14:paraId="3059E158" w14:textId="77777777" w:rsidR="00056C5B" w:rsidRDefault="00056C5B" w:rsidP="00B56EEB">
      <w:pPr>
        <w:ind w:left="567"/>
      </w:pPr>
      <w:r>
        <w:t xml:space="preserve">Channel Duty Guidance; Preventing Vulnerable People being drawn into terrorism (2015). HM Government </w:t>
      </w:r>
    </w:p>
    <w:p w14:paraId="01CB2332" w14:textId="76475768" w:rsidR="00056C5B" w:rsidRDefault="003D1BEE" w:rsidP="00B56EEB">
      <w:pPr>
        <w:ind w:left="567"/>
      </w:pPr>
      <w:hyperlink r:id="rId14" w:history="1">
        <w:r w:rsidR="00B56EEB" w:rsidRPr="00CB4243">
          <w:rPr>
            <w:rStyle w:val="Hyperlink"/>
          </w:rPr>
          <w:t>https://www.gov.uk/government/uploads/system/uploads/attachment_data/file/425189/Channel_Duty_Guidance_April_2015.pdf</w:t>
        </w:r>
      </w:hyperlink>
      <w:r w:rsidR="00B56EEB">
        <w:t xml:space="preserve"> </w:t>
      </w:r>
    </w:p>
    <w:p w14:paraId="6CBDFF46" w14:textId="77777777" w:rsidR="00056C5B" w:rsidRDefault="00056C5B" w:rsidP="00B56EEB">
      <w:pPr>
        <w:ind w:left="567"/>
      </w:pPr>
      <w:r>
        <w:t xml:space="preserve">Counter - Terrorism and Security Act (2015) HM Government </w:t>
      </w:r>
    </w:p>
    <w:p w14:paraId="56B17857" w14:textId="7256AAEC" w:rsidR="00056C5B" w:rsidRDefault="003D1BEE" w:rsidP="00B56EEB">
      <w:pPr>
        <w:ind w:left="567"/>
      </w:pPr>
      <w:hyperlink r:id="rId15" w:history="1">
        <w:r w:rsidR="00B56EEB" w:rsidRPr="00CB4243">
          <w:rPr>
            <w:rStyle w:val="Hyperlink"/>
          </w:rPr>
          <w:t>http://www.legislation.gov.uk/ukpga/2015/6/pdfs/ukpga_20150006_en.pdf</w:t>
        </w:r>
      </w:hyperlink>
      <w:r w:rsidR="00B56EEB">
        <w:t xml:space="preserve"> </w:t>
      </w:r>
    </w:p>
    <w:p w14:paraId="69E4790F" w14:textId="77777777" w:rsidR="00056C5B" w:rsidRDefault="00056C5B" w:rsidP="00B56EEB">
      <w:pPr>
        <w:ind w:left="567"/>
      </w:pPr>
      <w:r>
        <w:t xml:space="preserve">Data Protection Act (1998) HM Government </w:t>
      </w:r>
    </w:p>
    <w:p w14:paraId="48A86009" w14:textId="66572C07" w:rsidR="00056C5B" w:rsidRDefault="003D1BEE" w:rsidP="00B56EEB">
      <w:pPr>
        <w:ind w:left="567"/>
      </w:pPr>
      <w:hyperlink r:id="rId16" w:history="1">
        <w:r w:rsidR="00B56EEB" w:rsidRPr="00CB4243">
          <w:rPr>
            <w:rStyle w:val="Hyperlink"/>
          </w:rPr>
          <w:t>http://www.legislation.gov.uk/ukpga/1998/29/contents</w:t>
        </w:r>
      </w:hyperlink>
      <w:r w:rsidR="00B56EEB">
        <w:t xml:space="preserve"> </w:t>
      </w:r>
    </w:p>
    <w:p w14:paraId="03CE02A5" w14:textId="77777777" w:rsidR="00056C5B" w:rsidRDefault="00056C5B" w:rsidP="00B56EEB">
      <w:pPr>
        <w:ind w:left="567"/>
      </w:pPr>
      <w:r>
        <w:t xml:space="preserve">NHS England’s 2015/2016 Standard Contract Service Conditions </w:t>
      </w:r>
    </w:p>
    <w:p w14:paraId="16B89595" w14:textId="2B100FAA" w:rsidR="00056C5B" w:rsidRDefault="003D1BEE" w:rsidP="00B56EEB">
      <w:pPr>
        <w:ind w:left="567"/>
      </w:pPr>
      <w:hyperlink r:id="rId17" w:history="1">
        <w:r w:rsidR="00B56EEB" w:rsidRPr="00CB4243">
          <w:rPr>
            <w:rStyle w:val="Hyperlink"/>
          </w:rPr>
          <w:t>http://www.england.nhs.uk/nhs-standard-contract/15-16/</w:t>
        </w:r>
      </w:hyperlink>
      <w:r w:rsidR="00B56EEB">
        <w:t xml:space="preserve"> </w:t>
      </w:r>
    </w:p>
    <w:p w14:paraId="739BBF8B" w14:textId="77777777" w:rsidR="00056C5B" w:rsidRDefault="00056C5B" w:rsidP="00B56EEB">
      <w:pPr>
        <w:ind w:left="567"/>
      </w:pPr>
      <w:r>
        <w:t xml:space="preserve">PREVENT Duty Guidance (2015). HM Government. </w:t>
      </w:r>
    </w:p>
    <w:p w14:paraId="3E4C9EBD" w14:textId="30D9A0B0" w:rsidR="00056C5B" w:rsidRDefault="003D1BEE" w:rsidP="00B56EEB">
      <w:pPr>
        <w:ind w:left="567"/>
      </w:pPr>
      <w:hyperlink r:id="rId18" w:history="1">
        <w:r w:rsidR="00B56EEB" w:rsidRPr="00CB4243">
          <w:rPr>
            <w:rStyle w:val="Hyperlink"/>
          </w:rPr>
          <w:t>http://www.legislation.gov.uk/ukdsi/2015/9780111133309/pdfs/ukdsiod_9780111133309_en.pdf</w:t>
        </w:r>
      </w:hyperlink>
      <w:r w:rsidR="00B56EEB">
        <w:t xml:space="preserve"> </w:t>
      </w:r>
    </w:p>
    <w:p w14:paraId="7434159B" w14:textId="77777777" w:rsidR="00056C5B" w:rsidRDefault="00056C5B" w:rsidP="00B56EEB">
      <w:pPr>
        <w:keepNext/>
        <w:ind w:left="567"/>
      </w:pPr>
      <w:r>
        <w:lastRenderedPageBreak/>
        <w:t xml:space="preserve">PREVENT Strategy (2011) HM Government </w:t>
      </w:r>
    </w:p>
    <w:p w14:paraId="20B52CDF" w14:textId="369B9EEC" w:rsidR="00056C5B" w:rsidRDefault="003D1BEE" w:rsidP="00B56EEB">
      <w:pPr>
        <w:ind w:left="567"/>
      </w:pPr>
      <w:hyperlink r:id="rId19" w:history="1">
        <w:r w:rsidR="00B56EEB" w:rsidRPr="00CB4243">
          <w:rPr>
            <w:rStyle w:val="Hyperlink"/>
          </w:rPr>
          <w:t>https://www.gov.uk/government/uploads/system/uploads/attachment_data/file/97976/prevent-strategy-review.pdf</w:t>
        </w:r>
      </w:hyperlink>
      <w:r w:rsidR="00B56EEB">
        <w:t xml:space="preserve"> </w:t>
      </w:r>
    </w:p>
    <w:p w14:paraId="618723A1" w14:textId="77777777" w:rsidR="00056C5B" w:rsidRDefault="00056C5B" w:rsidP="00B56EEB">
      <w:pPr>
        <w:ind w:left="567"/>
      </w:pPr>
      <w:r>
        <w:t>PREVENT Training and Competencies Framework (2015) NHS England</w:t>
      </w:r>
    </w:p>
    <w:p w14:paraId="694818AD" w14:textId="3FC87F6F" w:rsidR="00056C5B" w:rsidRDefault="003D1BEE" w:rsidP="00B56EEB">
      <w:pPr>
        <w:ind w:left="567"/>
      </w:pPr>
      <w:hyperlink r:id="rId20" w:history="1">
        <w:r w:rsidR="00B56EEB" w:rsidRPr="00CB4243">
          <w:rPr>
            <w:rStyle w:val="Hyperlink"/>
          </w:rPr>
          <w:t>http://www.england.nhs.uk/wp-content/uploads/2015/02/train-competnc-frmwrk.pdf</w:t>
        </w:r>
      </w:hyperlink>
      <w:r w:rsidR="00B56EEB">
        <w:t xml:space="preserve"> </w:t>
      </w:r>
    </w:p>
    <w:p w14:paraId="0A0FDCC5" w14:textId="77777777" w:rsidR="00056C5B" w:rsidRDefault="00056C5B" w:rsidP="00B56EEB">
      <w:pPr>
        <w:ind w:left="567"/>
      </w:pPr>
      <w:r>
        <w:t>Channel Vulnerability Assessment Framework: October 2012 HM Government</w:t>
      </w:r>
    </w:p>
    <w:p w14:paraId="7E5EC14B" w14:textId="235E751B" w:rsidR="00056C5B" w:rsidRDefault="003D1BEE" w:rsidP="00B56EEB">
      <w:pPr>
        <w:ind w:left="567"/>
      </w:pPr>
      <w:hyperlink r:id="rId21" w:history="1">
        <w:r w:rsidR="00B56EEB" w:rsidRPr="00CB4243">
          <w:rPr>
            <w:rStyle w:val="Hyperlink"/>
          </w:rPr>
          <w:t>https://www.gov.uk/government/publications/channel-vulnerability-assessment</w:t>
        </w:r>
      </w:hyperlink>
      <w:r w:rsidR="00B56EEB">
        <w:t xml:space="preserve"> </w:t>
      </w:r>
    </w:p>
    <w:p w14:paraId="37166886" w14:textId="77777777" w:rsidR="00056C5B" w:rsidRDefault="00056C5B" w:rsidP="00B56EEB">
      <w:pPr>
        <w:ind w:left="567"/>
      </w:pPr>
      <w:r>
        <w:t>Prevent Duty</w:t>
      </w:r>
    </w:p>
    <w:p w14:paraId="3B6F0DA3" w14:textId="193AAEB8" w:rsidR="00056C5B" w:rsidRDefault="003D1BEE" w:rsidP="00B56EEB">
      <w:pPr>
        <w:ind w:left="567"/>
      </w:pPr>
      <w:hyperlink r:id="rId22" w:history="1">
        <w:r w:rsidR="00B56EEB" w:rsidRPr="00CB4243">
          <w:rPr>
            <w:rStyle w:val="Hyperlink"/>
          </w:rPr>
          <w:t>https://www.gov.uk/government/publications/prevent-duty-guidance</w:t>
        </w:r>
      </w:hyperlink>
      <w:r w:rsidR="00B56EEB">
        <w:t xml:space="preserve"> </w:t>
      </w:r>
    </w:p>
    <w:p w14:paraId="7F10DA82" w14:textId="77777777" w:rsidR="009D0185" w:rsidRDefault="009D0185" w:rsidP="009D0185">
      <w:pPr>
        <w:pStyle w:val="PoliciesHeading1"/>
      </w:pPr>
      <w:bookmarkStart w:id="14" w:name="_Toc99105775"/>
      <w:bookmarkStart w:id="15" w:name="_Toc99110645"/>
      <w:bookmarkStart w:id="16" w:name="_Toc99112036"/>
      <w:bookmarkStart w:id="17" w:name="_Toc53056239"/>
      <w:bookmarkStart w:id="18" w:name="_Toc86064824"/>
      <w:bookmarkStart w:id="19" w:name="_Hlk86669594"/>
      <w:r>
        <w:t>Equality Statement</w:t>
      </w:r>
      <w:bookmarkEnd w:id="14"/>
      <w:bookmarkEnd w:id="15"/>
      <w:bookmarkEnd w:id="16"/>
    </w:p>
    <w:p w14:paraId="449BAC74" w14:textId="77777777" w:rsidR="009D0185" w:rsidRPr="00BC1E85" w:rsidRDefault="009D0185" w:rsidP="009D0185">
      <w:pPr>
        <w:pStyle w:val="PoliciesText2"/>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33C877" w14:textId="77777777" w:rsidR="009D0185" w:rsidRPr="00BC1E85" w:rsidRDefault="009D0185" w:rsidP="009D0185">
      <w:pPr>
        <w:pStyle w:val="PoliciesText2"/>
        <w:rPr>
          <w:b/>
        </w:rPr>
      </w:pPr>
      <w:r w:rsidRPr="00BC1E85">
        <w:t xml:space="preserve">In carrying out its function, the </w:t>
      </w:r>
      <w:r>
        <w:t>ICB</w:t>
      </w:r>
      <w:r w:rsidRPr="00BC1E85">
        <w:t xml:space="preserve"> must have due regard to t</w:t>
      </w:r>
      <w:r>
        <w:t xml:space="preserve">he </w:t>
      </w:r>
      <w:r w:rsidRPr="00BC1E85">
        <w:t xml:space="preserve">PSED. This applies to all activities for which the </w:t>
      </w:r>
      <w:r>
        <w:t>ICB</w:t>
      </w:r>
      <w:r w:rsidRPr="00BC1E85">
        <w:t xml:space="preserve"> is responsible, including policy development, review and implementation.</w:t>
      </w:r>
    </w:p>
    <w:p w14:paraId="149E4D68" w14:textId="77777777" w:rsidR="009D0185" w:rsidRDefault="009D0185" w:rsidP="009D0185">
      <w:pPr>
        <w:pStyle w:val="PoliciesHeading1"/>
      </w:pPr>
      <w:bookmarkStart w:id="20" w:name="_Toc53056240"/>
      <w:bookmarkStart w:id="21" w:name="_Toc86064825"/>
      <w:bookmarkStart w:id="22" w:name="_Toc99105776"/>
      <w:bookmarkStart w:id="23" w:name="_Toc99110646"/>
      <w:bookmarkStart w:id="24" w:name="_Toc99112037"/>
      <w:r>
        <w:t>Due Regard</w:t>
      </w:r>
      <w:bookmarkEnd w:id="20"/>
      <w:bookmarkEnd w:id="21"/>
      <w:bookmarkEnd w:id="22"/>
      <w:bookmarkEnd w:id="23"/>
      <w:bookmarkEnd w:id="24"/>
    </w:p>
    <w:p w14:paraId="180C4FE6" w14:textId="77777777" w:rsidR="009D0185" w:rsidRDefault="009D0185" w:rsidP="009D0185">
      <w:pPr>
        <w:ind w:left="567"/>
      </w:pPr>
      <w:r>
        <w:t>This policy has been reviewed in relation to having due regard to the PSED of the Equality Act 2010 to eliminate discrimination; harassment; victimisation; to advance equality of opportunity; and foster good relations between the protected groups.</w:t>
      </w:r>
    </w:p>
    <w:bookmarkEnd w:id="17"/>
    <w:bookmarkEnd w:id="18"/>
    <w:bookmarkEnd w:id="19"/>
    <w:sectPr w:rsidR="009D0185" w:rsidSect="00706451">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21A6" w14:textId="77777777" w:rsidR="009D0185" w:rsidRDefault="009D0185" w:rsidP="00483FAE">
      <w:pPr>
        <w:spacing w:line="240" w:lineRule="auto"/>
      </w:pPr>
      <w:r>
        <w:separator/>
      </w:r>
    </w:p>
  </w:endnote>
  <w:endnote w:type="continuationSeparator" w:id="0">
    <w:p w14:paraId="5C1BDD49" w14:textId="77777777" w:rsidR="009D0185" w:rsidRDefault="009D0185"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9D0185" w:rsidRDefault="009D0185">
    <w:pPr>
      <w:pStyle w:val="Footer"/>
      <w:jc w:val="right"/>
    </w:pPr>
  </w:p>
  <w:p w14:paraId="0F209998" w14:textId="1225D19C" w:rsidR="009D0185" w:rsidRPr="00DC6860" w:rsidRDefault="009D0185"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314F4638" w:rsidR="009D0185" w:rsidRPr="00DC6860" w:rsidRDefault="00056C5B" w:rsidP="004C7F76">
    <w:pPr>
      <w:pStyle w:val="Footer"/>
      <w:spacing w:before="0"/>
      <w:rPr>
        <w:sz w:val="20"/>
        <w:szCs w:val="20"/>
      </w:rPr>
    </w:pPr>
    <w:r>
      <w:rPr>
        <w:sz w:val="20"/>
        <w:szCs w:val="20"/>
      </w:rPr>
      <w:t>Prevent</w:t>
    </w:r>
    <w:r w:rsidR="009D0185" w:rsidRPr="00C71FDA">
      <w:rPr>
        <w:sz w:val="20"/>
        <w:szCs w:val="20"/>
      </w:rPr>
      <w:t xml:space="preserve"> Policy </w:t>
    </w:r>
    <w:r w:rsidR="009D0185">
      <w:rPr>
        <w:sz w:val="20"/>
        <w:szCs w:val="20"/>
      </w:rPr>
      <w:t>v</w:t>
    </w:r>
    <w:r w:rsidR="003D1BEE">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9D0185" w:rsidRDefault="009D0185" w:rsidP="00F1119D">
            <w:pPr>
              <w:pStyle w:val="Footer"/>
              <w:spacing w:before="0"/>
            </w:pPr>
          </w:p>
          <w:p w14:paraId="54DBCCF5" w14:textId="77777777" w:rsidR="009D0185" w:rsidRPr="00DC6860" w:rsidRDefault="009D0185" w:rsidP="00BB67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0F52BA69" w14:textId="00002D6F" w:rsidR="009D0185" w:rsidRPr="00DC6860" w:rsidRDefault="00056C5B" w:rsidP="00BB6760">
            <w:pPr>
              <w:pStyle w:val="Footer"/>
              <w:spacing w:before="0"/>
              <w:rPr>
                <w:sz w:val="20"/>
                <w:szCs w:val="20"/>
              </w:rPr>
            </w:pPr>
            <w:r>
              <w:rPr>
                <w:sz w:val="20"/>
                <w:szCs w:val="20"/>
              </w:rPr>
              <w:t xml:space="preserve">Prevent </w:t>
            </w:r>
            <w:r w:rsidR="009D0185" w:rsidRPr="00C71FDA">
              <w:rPr>
                <w:sz w:val="20"/>
                <w:szCs w:val="20"/>
              </w:rPr>
              <w:t xml:space="preserve">Policy </w:t>
            </w:r>
            <w:r w:rsidR="009D0185">
              <w:rPr>
                <w:sz w:val="20"/>
                <w:szCs w:val="20"/>
              </w:rPr>
              <w:t>v</w:t>
            </w:r>
            <w:r w:rsidR="003D1BEE">
              <w:rPr>
                <w:sz w:val="20"/>
                <w:szCs w:val="20"/>
              </w:rPr>
              <w:t>1.0</w:t>
            </w:r>
          </w:p>
          <w:p w14:paraId="2626A454" w14:textId="3A58B7C4" w:rsidR="009D0185" w:rsidRPr="00192CA5" w:rsidRDefault="009D0185" w:rsidP="00004C26">
            <w:pPr>
              <w:pStyle w:val="Footer"/>
              <w:tabs>
                <w:tab w:val="clear" w:pos="9026"/>
                <w:tab w:val="right" w:pos="14002"/>
              </w:tabs>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359B" w14:textId="77777777" w:rsidR="009D0185" w:rsidRDefault="009D0185" w:rsidP="00483FAE">
      <w:pPr>
        <w:spacing w:line="240" w:lineRule="auto"/>
      </w:pPr>
      <w:r>
        <w:separator/>
      </w:r>
    </w:p>
  </w:footnote>
  <w:footnote w:type="continuationSeparator" w:id="0">
    <w:p w14:paraId="213965B4" w14:textId="77777777" w:rsidR="009D0185" w:rsidRDefault="009D0185"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6EE5FBC6" w:rsidR="009D0185" w:rsidRPr="002A7F62" w:rsidRDefault="00C576C0" w:rsidP="002A7F62">
    <w:pPr>
      <w:pStyle w:val="Header"/>
    </w:pPr>
    <w:r>
      <w:rPr>
        <w:noProof/>
      </w:rPr>
      <w:drawing>
        <wp:anchor distT="0" distB="0" distL="114300" distR="114300" simplePos="0" relativeHeight="251659264" behindDoc="1" locked="0" layoutInCell="1" allowOverlap="1" wp14:anchorId="07F8D60A" wp14:editId="1218DE3E">
          <wp:simplePos x="0" y="0"/>
          <wp:positionH relativeFrom="page">
            <wp:posOffset>5562104</wp:posOffset>
          </wp:positionH>
          <wp:positionV relativeFrom="paragraph">
            <wp:posOffset>-539750</wp:posOffset>
          </wp:positionV>
          <wp:extent cx="1998661" cy="900000"/>
          <wp:effectExtent l="0" t="0" r="0" b="0"/>
          <wp:wrapTight wrapText="bothSides">
            <wp:wrapPolygon edited="0">
              <wp:start x="12766" y="2744"/>
              <wp:lineTo x="1030" y="10518"/>
              <wp:lineTo x="1030" y="13719"/>
              <wp:lineTo x="5765" y="17378"/>
              <wp:lineTo x="9060" y="18292"/>
              <wp:lineTo x="10501" y="18292"/>
              <wp:lineTo x="19767" y="17378"/>
              <wp:lineTo x="20179" y="10975"/>
              <wp:lineTo x="19150" y="10975"/>
              <wp:lineTo x="20179" y="7317"/>
              <wp:lineTo x="19973" y="2744"/>
              <wp:lineTo x="12766" y="274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C8D2C814"/>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3B04B2"/>
    <w:multiLevelType w:val="hybridMultilevel"/>
    <w:tmpl w:val="A9FE046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1CB1AB0"/>
    <w:multiLevelType w:val="hybridMultilevel"/>
    <w:tmpl w:val="F356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35E4E"/>
    <w:multiLevelType w:val="hybridMultilevel"/>
    <w:tmpl w:val="578E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3F723B"/>
    <w:multiLevelType w:val="hybridMultilevel"/>
    <w:tmpl w:val="3934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684346"/>
    <w:multiLevelType w:val="hybridMultilevel"/>
    <w:tmpl w:val="6DE44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166412">
    <w:abstractNumId w:val="2"/>
  </w:num>
  <w:num w:numId="2" w16cid:durableId="1553078753">
    <w:abstractNumId w:val="0"/>
  </w:num>
  <w:num w:numId="3" w16cid:durableId="1554855359">
    <w:abstractNumId w:val="9"/>
  </w:num>
  <w:num w:numId="4" w16cid:durableId="851603428">
    <w:abstractNumId w:val="7"/>
  </w:num>
  <w:num w:numId="5" w16cid:durableId="40836606">
    <w:abstractNumId w:val="10"/>
  </w:num>
  <w:num w:numId="6" w16cid:durableId="1004824474">
    <w:abstractNumId w:val="5"/>
  </w:num>
  <w:num w:numId="7" w16cid:durableId="1726679573">
    <w:abstractNumId w:val="1"/>
    <w:lvlOverride w:ilvl="0">
      <w:lvl w:ilvl="0">
        <w:start w:val="1"/>
        <w:numFmt w:val="decimal"/>
        <w:pStyle w:val="AppendixHeading1"/>
        <w:lvlText w:val="%1."/>
        <w:lvlJc w:val="left"/>
        <w:pPr>
          <w:ind w:left="567" w:hanging="567"/>
        </w:pPr>
        <w:rPr>
          <w:rFonts w:ascii="Arial Bold" w:hAnsi="Arial Bold" w:hint="default"/>
          <w:b/>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021585771">
    <w:abstractNumId w:val="11"/>
  </w:num>
  <w:num w:numId="9" w16cid:durableId="1549760664">
    <w:abstractNumId w:val="6"/>
  </w:num>
  <w:num w:numId="10" w16cid:durableId="210582227">
    <w:abstractNumId w:val="4"/>
  </w:num>
  <w:num w:numId="11" w16cid:durableId="485828417">
    <w:abstractNumId w:val="8"/>
  </w:num>
  <w:num w:numId="12" w16cid:durableId="1464885503">
    <w:abstractNumId w:val="3"/>
  </w:num>
  <w:num w:numId="13" w16cid:durableId="295532572">
    <w:abstractNumId w:val="0"/>
  </w:num>
  <w:num w:numId="14" w16cid:durableId="284581340">
    <w:abstractNumId w:val="0"/>
  </w:num>
  <w:num w:numId="15" w16cid:durableId="1357544077">
    <w:abstractNumId w:val="0"/>
  </w:num>
  <w:num w:numId="16" w16cid:durableId="1891917362">
    <w:abstractNumId w:val="0"/>
  </w:num>
  <w:num w:numId="17" w16cid:durableId="1059674321">
    <w:abstractNumId w:val="0"/>
  </w:num>
  <w:num w:numId="18" w16cid:durableId="514197722">
    <w:abstractNumId w:val="0"/>
  </w:num>
  <w:num w:numId="19" w16cid:durableId="1048182975">
    <w:abstractNumId w:val="0"/>
  </w:num>
  <w:num w:numId="20" w16cid:durableId="982731988">
    <w:abstractNumId w:val="0"/>
  </w:num>
  <w:num w:numId="21" w16cid:durableId="956715747">
    <w:abstractNumId w:val="0"/>
  </w:num>
  <w:num w:numId="22" w16cid:durableId="1162887809">
    <w:abstractNumId w:val="0"/>
  </w:num>
  <w:num w:numId="23" w16cid:durableId="360131354">
    <w:abstractNumId w:val="0"/>
  </w:num>
  <w:num w:numId="24" w16cid:durableId="1677345954">
    <w:abstractNumId w:val="0"/>
  </w:num>
  <w:num w:numId="25" w16cid:durableId="1964992418">
    <w:abstractNumId w:val="0"/>
  </w:num>
  <w:num w:numId="26" w16cid:durableId="7648979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5B35"/>
    <w:rsid w:val="00006129"/>
    <w:rsid w:val="00010027"/>
    <w:rsid w:val="000152FF"/>
    <w:rsid w:val="0002259A"/>
    <w:rsid w:val="00026C09"/>
    <w:rsid w:val="000347B4"/>
    <w:rsid w:val="00034B62"/>
    <w:rsid w:val="000409CC"/>
    <w:rsid w:val="0004551D"/>
    <w:rsid w:val="00046915"/>
    <w:rsid w:val="00054821"/>
    <w:rsid w:val="00055197"/>
    <w:rsid w:val="00056C5B"/>
    <w:rsid w:val="0006326E"/>
    <w:rsid w:val="000638C7"/>
    <w:rsid w:val="00063932"/>
    <w:rsid w:val="0006438D"/>
    <w:rsid w:val="00073761"/>
    <w:rsid w:val="0007562A"/>
    <w:rsid w:val="000768C7"/>
    <w:rsid w:val="000771E5"/>
    <w:rsid w:val="000836F4"/>
    <w:rsid w:val="00083B10"/>
    <w:rsid w:val="00085B10"/>
    <w:rsid w:val="00094F10"/>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2C59"/>
    <w:rsid w:val="000F39EB"/>
    <w:rsid w:val="000F43A8"/>
    <w:rsid w:val="000F74DC"/>
    <w:rsid w:val="00100109"/>
    <w:rsid w:val="00107A85"/>
    <w:rsid w:val="00110EA6"/>
    <w:rsid w:val="00116E98"/>
    <w:rsid w:val="00123167"/>
    <w:rsid w:val="0013148D"/>
    <w:rsid w:val="00142A93"/>
    <w:rsid w:val="0014708C"/>
    <w:rsid w:val="0015507F"/>
    <w:rsid w:val="00157F27"/>
    <w:rsid w:val="001616C9"/>
    <w:rsid w:val="00161A84"/>
    <w:rsid w:val="001646F3"/>
    <w:rsid w:val="001648A7"/>
    <w:rsid w:val="00165649"/>
    <w:rsid w:val="00165752"/>
    <w:rsid w:val="0016724B"/>
    <w:rsid w:val="001736D4"/>
    <w:rsid w:val="00174CD0"/>
    <w:rsid w:val="0017637E"/>
    <w:rsid w:val="001769DF"/>
    <w:rsid w:val="00180EB4"/>
    <w:rsid w:val="00181C91"/>
    <w:rsid w:val="00186DF4"/>
    <w:rsid w:val="001912A9"/>
    <w:rsid w:val="00192CA5"/>
    <w:rsid w:val="0019479A"/>
    <w:rsid w:val="0019541B"/>
    <w:rsid w:val="001979C7"/>
    <w:rsid w:val="001A0DEA"/>
    <w:rsid w:val="001A5164"/>
    <w:rsid w:val="001B004F"/>
    <w:rsid w:val="001B07BE"/>
    <w:rsid w:val="001B41AB"/>
    <w:rsid w:val="001C0588"/>
    <w:rsid w:val="001C2759"/>
    <w:rsid w:val="001C34AB"/>
    <w:rsid w:val="001D0262"/>
    <w:rsid w:val="001D550A"/>
    <w:rsid w:val="001D6FEB"/>
    <w:rsid w:val="001E125D"/>
    <w:rsid w:val="001E1698"/>
    <w:rsid w:val="001E28D3"/>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37964"/>
    <w:rsid w:val="0024167F"/>
    <w:rsid w:val="00242C48"/>
    <w:rsid w:val="00252A06"/>
    <w:rsid w:val="002576B3"/>
    <w:rsid w:val="00261E87"/>
    <w:rsid w:val="00264E54"/>
    <w:rsid w:val="00267494"/>
    <w:rsid w:val="00274B16"/>
    <w:rsid w:val="0028554E"/>
    <w:rsid w:val="00290B0E"/>
    <w:rsid w:val="002913C6"/>
    <w:rsid w:val="0029543D"/>
    <w:rsid w:val="00296B8F"/>
    <w:rsid w:val="002A2A00"/>
    <w:rsid w:val="002A705D"/>
    <w:rsid w:val="002A7D1B"/>
    <w:rsid w:val="002A7F62"/>
    <w:rsid w:val="002B0AF1"/>
    <w:rsid w:val="002B431E"/>
    <w:rsid w:val="002B4F8F"/>
    <w:rsid w:val="002B7C57"/>
    <w:rsid w:val="002C4BE3"/>
    <w:rsid w:val="002C5CA4"/>
    <w:rsid w:val="002C7229"/>
    <w:rsid w:val="002C735F"/>
    <w:rsid w:val="002D6993"/>
    <w:rsid w:val="002E116B"/>
    <w:rsid w:val="002F09E5"/>
    <w:rsid w:val="002F22C1"/>
    <w:rsid w:val="002F3124"/>
    <w:rsid w:val="00310382"/>
    <w:rsid w:val="003143C5"/>
    <w:rsid w:val="00314A21"/>
    <w:rsid w:val="00317F61"/>
    <w:rsid w:val="00317F8A"/>
    <w:rsid w:val="003208D8"/>
    <w:rsid w:val="003270C6"/>
    <w:rsid w:val="00340086"/>
    <w:rsid w:val="0034115B"/>
    <w:rsid w:val="00344152"/>
    <w:rsid w:val="003460DB"/>
    <w:rsid w:val="003509FC"/>
    <w:rsid w:val="00356340"/>
    <w:rsid w:val="0036516C"/>
    <w:rsid w:val="00366ADB"/>
    <w:rsid w:val="0037217E"/>
    <w:rsid w:val="00377211"/>
    <w:rsid w:val="00384098"/>
    <w:rsid w:val="00385D46"/>
    <w:rsid w:val="00391B1C"/>
    <w:rsid w:val="003953E9"/>
    <w:rsid w:val="00397D7A"/>
    <w:rsid w:val="003A11E2"/>
    <w:rsid w:val="003B193C"/>
    <w:rsid w:val="003C0E5A"/>
    <w:rsid w:val="003C27BD"/>
    <w:rsid w:val="003C31DC"/>
    <w:rsid w:val="003D1BEE"/>
    <w:rsid w:val="003D3393"/>
    <w:rsid w:val="003D51CE"/>
    <w:rsid w:val="003D7125"/>
    <w:rsid w:val="003E077A"/>
    <w:rsid w:val="003E1842"/>
    <w:rsid w:val="003E63B3"/>
    <w:rsid w:val="003E68D7"/>
    <w:rsid w:val="003F3785"/>
    <w:rsid w:val="003F42BF"/>
    <w:rsid w:val="003F79F3"/>
    <w:rsid w:val="004022C4"/>
    <w:rsid w:val="00412722"/>
    <w:rsid w:val="004216AD"/>
    <w:rsid w:val="00425E1A"/>
    <w:rsid w:val="00427F76"/>
    <w:rsid w:val="00430AED"/>
    <w:rsid w:val="00434CC7"/>
    <w:rsid w:val="00443EE9"/>
    <w:rsid w:val="00444609"/>
    <w:rsid w:val="004465F1"/>
    <w:rsid w:val="00446A2F"/>
    <w:rsid w:val="00453AA1"/>
    <w:rsid w:val="004611AA"/>
    <w:rsid w:val="0046251E"/>
    <w:rsid w:val="004665CE"/>
    <w:rsid w:val="00467A5E"/>
    <w:rsid w:val="00470571"/>
    <w:rsid w:val="004815CF"/>
    <w:rsid w:val="00483FAE"/>
    <w:rsid w:val="00485138"/>
    <w:rsid w:val="00487F76"/>
    <w:rsid w:val="00494D15"/>
    <w:rsid w:val="00496E6A"/>
    <w:rsid w:val="004A1F2F"/>
    <w:rsid w:val="004A28F9"/>
    <w:rsid w:val="004A3349"/>
    <w:rsid w:val="004A39C8"/>
    <w:rsid w:val="004A3C9F"/>
    <w:rsid w:val="004B0A95"/>
    <w:rsid w:val="004B1895"/>
    <w:rsid w:val="004B48BF"/>
    <w:rsid w:val="004B6434"/>
    <w:rsid w:val="004C039F"/>
    <w:rsid w:val="004C7F76"/>
    <w:rsid w:val="004E0B27"/>
    <w:rsid w:val="004E0E23"/>
    <w:rsid w:val="004E3AA5"/>
    <w:rsid w:val="004E629F"/>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52F0D"/>
    <w:rsid w:val="00560A1B"/>
    <w:rsid w:val="005649DF"/>
    <w:rsid w:val="0056664F"/>
    <w:rsid w:val="0056674F"/>
    <w:rsid w:val="00566DA0"/>
    <w:rsid w:val="00566E3A"/>
    <w:rsid w:val="00583036"/>
    <w:rsid w:val="005855E5"/>
    <w:rsid w:val="00597393"/>
    <w:rsid w:val="005A116F"/>
    <w:rsid w:val="005A2358"/>
    <w:rsid w:val="005A2AB0"/>
    <w:rsid w:val="005A4E48"/>
    <w:rsid w:val="005A65BB"/>
    <w:rsid w:val="005A73A3"/>
    <w:rsid w:val="005C1BCA"/>
    <w:rsid w:val="005C1D98"/>
    <w:rsid w:val="005C31A4"/>
    <w:rsid w:val="005C5D63"/>
    <w:rsid w:val="005C6865"/>
    <w:rsid w:val="005D51B9"/>
    <w:rsid w:val="005E06BB"/>
    <w:rsid w:val="005E3543"/>
    <w:rsid w:val="005E5037"/>
    <w:rsid w:val="005E5F9B"/>
    <w:rsid w:val="005F07F7"/>
    <w:rsid w:val="005F0916"/>
    <w:rsid w:val="005F20B1"/>
    <w:rsid w:val="005F3736"/>
    <w:rsid w:val="005F38BF"/>
    <w:rsid w:val="005F464E"/>
    <w:rsid w:val="00602FE1"/>
    <w:rsid w:val="00605793"/>
    <w:rsid w:val="0061029B"/>
    <w:rsid w:val="00611393"/>
    <w:rsid w:val="00613E2C"/>
    <w:rsid w:val="0061430B"/>
    <w:rsid w:val="00614E7A"/>
    <w:rsid w:val="00615E76"/>
    <w:rsid w:val="00616025"/>
    <w:rsid w:val="00620668"/>
    <w:rsid w:val="00624F8B"/>
    <w:rsid w:val="006257CE"/>
    <w:rsid w:val="00626D70"/>
    <w:rsid w:val="00627973"/>
    <w:rsid w:val="00631C6F"/>
    <w:rsid w:val="00643582"/>
    <w:rsid w:val="00646C9D"/>
    <w:rsid w:val="006523AE"/>
    <w:rsid w:val="00654104"/>
    <w:rsid w:val="00667BED"/>
    <w:rsid w:val="00670AB1"/>
    <w:rsid w:val="00671A82"/>
    <w:rsid w:val="006723E0"/>
    <w:rsid w:val="006745DA"/>
    <w:rsid w:val="00677A9B"/>
    <w:rsid w:val="00680075"/>
    <w:rsid w:val="006813AA"/>
    <w:rsid w:val="006827DE"/>
    <w:rsid w:val="006848EF"/>
    <w:rsid w:val="006909A0"/>
    <w:rsid w:val="00695210"/>
    <w:rsid w:val="006966FC"/>
    <w:rsid w:val="006A04D7"/>
    <w:rsid w:val="006A6506"/>
    <w:rsid w:val="006B22D1"/>
    <w:rsid w:val="006B29E4"/>
    <w:rsid w:val="006B6FC6"/>
    <w:rsid w:val="006C18DC"/>
    <w:rsid w:val="006C398C"/>
    <w:rsid w:val="006C4330"/>
    <w:rsid w:val="006C4423"/>
    <w:rsid w:val="006C5695"/>
    <w:rsid w:val="006C6FE3"/>
    <w:rsid w:val="006C79B4"/>
    <w:rsid w:val="006D2699"/>
    <w:rsid w:val="006D4C9C"/>
    <w:rsid w:val="006E032D"/>
    <w:rsid w:val="006F2DF1"/>
    <w:rsid w:val="006F73CB"/>
    <w:rsid w:val="00704F7D"/>
    <w:rsid w:val="00706451"/>
    <w:rsid w:val="007110FD"/>
    <w:rsid w:val="007217FF"/>
    <w:rsid w:val="00721D05"/>
    <w:rsid w:val="00723450"/>
    <w:rsid w:val="00723E06"/>
    <w:rsid w:val="00725B48"/>
    <w:rsid w:val="00726084"/>
    <w:rsid w:val="00726E8D"/>
    <w:rsid w:val="007279C2"/>
    <w:rsid w:val="00730D3D"/>
    <w:rsid w:val="00730E52"/>
    <w:rsid w:val="007351E0"/>
    <w:rsid w:val="00741472"/>
    <w:rsid w:val="00741EF2"/>
    <w:rsid w:val="007423BF"/>
    <w:rsid w:val="00746D77"/>
    <w:rsid w:val="00751ABE"/>
    <w:rsid w:val="00753C1D"/>
    <w:rsid w:val="007558D2"/>
    <w:rsid w:val="0076457F"/>
    <w:rsid w:val="00764923"/>
    <w:rsid w:val="0076754C"/>
    <w:rsid w:val="00771D49"/>
    <w:rsid w:val="00773EC7"/>
    <w:rsid w:val="007741F3"/>
    <w:rsid w:val="00782F64"/>
    <w:rsid w:val="007842A2"/>
    <w:rsid w:val="007842BF"/>
    <w:rsid w:val="00786406"/>
    <w:rsid w:val="00792CEF"/>
    <w:rsid w:val="0079566E"/>
    <w:rsid w:val="007A0887"/>
    <w:rsid w:val="007A116D"/>
    <w:rsid w:val="007A2091"/>
    <w:rsid w:val="007A2671"/>
    <w:rsid w:val="007A476E"/>
    <w:rsid w:val="007A55C5"/>
    <w:rsid w:val="007B3635"/>
    <w:rsid w:val="007B47BB"/>
    <w:rsid w:val="007B5275"/>
    <w:rsid w:val="007C0B5D"/>
    <w:rsid w:val="007C26DA"/>
    <w:rsid w:val="007C56F5"/>
    <w:rsid w:val="007E430D"/>
    <w:rsid w:val="007E5683"/>
    <w:rsid w:val="007F053E"/>
    <w:rsid w:val="007F1F2E"/>
    <w:rsid w:val="007F3932"/>
    <w:rsid w:val="007F3DFD"/>
    <w:rsid w:val="007F4E3D"/>
    <w:rsid w:val="00806CA6"/>
    <w:rsid w:val="008115CE"/>
    <w:rsid w:val="00814140"/>
    <w:rsid w:val="00815017"/>
    <w:rsid w:val="0081645E"/>
    <w:rsid w:val="008200AF"/>
    <w:rsid w:val="00822578"/>
    <w:rsid w:val="0082339E"/>
    <w:rsid w:val="008254CC"/>
    <w:rsid w:val="0082560F"/>
    <w:rsid w:val="008258F4"/>
    <w:rsid w:val="00827D4C"/>
    <w:rsid w:val="008301C2"/>
    <w:rsid w:val="00830E63"/>
    <w:rsid w:val="00830FB2"/>
    <w:rsid w:val="00833272"/>
    <w:rsid w:val="00837259"/>
    <w:rsid w:val="008425A4"/>
    <w:rsid w:val="00843B80"/>
    <w:rsid w:val="00852DAE"/>
    <w:rsid w:val="0085356D"/>
    <w:rsid w:val="008566E6"/>
    <w:rsid w:val="008574FF"/>
    <w:rsid w:val="008578D5"/>
    <w:rsid w:val="00863EA6"/>
    <w:rsid w:val="00872643"/>
    <w:rsid w:val="00873DE7"/>
    <w:rsid w:val="008745DE"/>
    <w:rsid w:val="00874E97"/>
    <w:rsid w:val="00874E99"/>
    <w:rsid w:val="00877DF0"/>
    <w:rsid w:val="00883EC1"/>
    <w:rsid w:val="008865F7"/>
    <w:rsid w:val="0089294B"/>
    <w:rsid w:val="008A2194"/>
    <w:rsid w:val="008A266E"/>
    <w:rsid w:val="008B16E5"/>
    <w:rsid w:val="008B217F"/>
    <w:rsid w:val="008B34D4"/>
    <w:rsid w:val="008B7ADB"/>
    <w:rsid w:val="008C186D"/>
    <w:rsid w:val="008C192A"/>
    <w:rsid w:val="008C1C53"/>
    <w:rsid w:val="008C2DA7"/>
    <w:rsid w:val="008C5A69"/>
    <w:rsid w:val="008C7383"/>
    <w:rsid w:val="008D0CAE"/>
    <w:rsid w:val="008D41E0"/>
    <w:rsid w:val="008D5606"/>
    <w:rsid w:val="008E2FB5"/>
    <w:rsid w:val="008F08FB"/>
    <w:rsid w:val="008F2F66"/>
    <w:rsid w:val="008F3F23"/>
    <w:rsid w:val="00906BCB"/>
    <w:rsid w:val="00914B91"/>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2C26"/>
    <w:rsid w:val="00984017"/>
    <w:rsid w:val="00984256"/>
    <w:rsid w:val="009846AA"/>
    <w:rsid w:val="00984852"/>
    <w:rsid w:val="009878B0"/>
    <w:rsid w:val="00990537"/>
    <w:rsid w:val="00990D86"/>
    <w:rsid w:val="00990D92"/>
    <w:rsid w:val="00997EB1"/>
    <w:rsid w:val="009A128D"/>
    <w:rsid w:val="009A4B67"/>
    <w:rsid w:val="009B046C"/>
    <w:rsid w:val="009B3D07"/>
    <w:rsid w:val="009B5EE6"/>
    <w:rsid w:val="009B5FFA"/>
    <w:rsid w:val="009B7118"/>
    <w:rsid w:val="009D0185"/>
    <w:rsid w:val="009D3DD6"/>
    <w:rsid w:val="009D724F"/>
    <w:rsid w:val="009E37CF"/>
    <w:rsid w:val="009E6B08"/>
    <w:rsid w:val="009E71B8"/>
    <w:rsid w:val="009E78F9"/>
    <w:rsid w:val="009F52FB"/>
    <w:rsid w:val="00A03854"/>
    <w:rsid w:val="00A0429D"/>
    <w:rsid w:val="00A061FA"/>
    <w:rsid w:val="00A067ED"/>
    <w:rsid w:val="00A11419"/>
    <w:rsid w:val="00A117C5"/>
    <w:rsid w:val="00A125B8"/>
    <w:rsid w:val="00A12A80"/>
    <w:rsid w:val="00A2340B"/>
    <w:rsid w:val="00A25675"/>
    <w:rsid w:val="00A32506"/>
    <w:rsid w:val="00A33611"/>
    <w:rsid w:val="00A37B7D"/>
    <w:rsid w:val="00A46B9D"/>
    <w:rsid w:val="00A500CD"/>
    <w:rsid w:val="00A50C09"/>
    <w:rsid w:val="00A53EFB"/>
    <w:rsid w:val="00A60EA6"/>
    <w:rsid w:val="00A6144F"/>
    <w:rsid w:val="00A6288B"/>
    <w:rsid w:val="00A64F34"/>
    <w:rsid w:val="00A67CCB"/>
    <w:rsid w:val="00A71C07"/>
    <w:rsid w:val="00A76854"/>
    <w:rsid w:val="00A76D93"/>
    <w:rsid w:val="00A84557"/>
    <w:rsid w:val="00A845AC"/>
    <w:rsid w:val="00A852F5"/>
    <w:rsid w:val="00A868B2"/>
    <w:rsid w:val="00A871A6"/>
    <w:rsid w:val="00A90210"/>
    <w:rsid w:val="00A92F44"/>
    <w:rsid w:val="00A940BB"/>
    <w:rsid w:val="00AA0C18"/>
    <w:rsid w:val="00AA5AB1"/>
    <w:rsid w:val="00AA5EC8"/>
    <w:rsid w:val="00AA7B72"/>
    <w:rsid w:val="00AB25C7"/>
    <w:rsid w:val="00AB2864"/>
    <w:rsid w:val="00AB2A1B"/>
    <w:rsid w:val="00AB389A"/>
    <w:rsid w:val="00AC15D6"/>
    <w:rsid w:val="00AC47A5"/>
    <w:rsid w:val="00AD018C"/>
    <w:rsid w:val="00AD309D"/>
    <w:rsid w:val="00AF1208"/>
    <w:rsid w:val="00AF1FBD"/>
    <w:rsid w:val="00AF7102"/>
    <w:rsid w:val="00B02278"/>
    <w:rsid w:val="00B05541"/>
    <w:rsid w:val="00B07BFD"/>
    <w:rsid w:val="00B11502"/>
    <w:rsid w:val="00B118DD"/>
    <w:rsid w:val="00B22188"/>
    <w:rsid w:val="00B23509"/>
    <w:rsid w:val="00B23C52"/>
    <w:rsid w:val="00B31756"/>
    <w:rsid w:val="00B31958"/>
    <w:rsid w:val="00B3785E"/>
    <w:rsid w:val="00B37D96"/>
    <w:rsid w:val="00B41CF6"/>
    <w:rsid w:val="00B479B1"/>
    <w:rsid w:val="00B508D9"/>
    <w:rsid w:val="00B5193A"/>
    <w:rsid w:val="00B56EEB"/>
    <w:rsid w:val="00B629CD"/>
    <w:rsid w:val="00B644AA"/>
    <w:rsid w:val="00B64838"/>
    <w:rsid w:val="00B66D7C"/>
    <w:rsid w:val="00B72331"/>
    <w:rsid w:val="00B728E6"/>
    <w:rsid w:val="00B74475"/>
    <w:rsid w:val="00B83E33"/>
    <w:rsid w:val="00B9096E"/>
    <w:rsid w:val="00B90C1B"/>
    <w:rsid w:val="00B97B2A"/>
    <w:rsid w:val="00BA417F"/>
    <w:rsid w:val="00BA4595"/>
    <w:rsid w:val="00BA6451"/>
    <w:rsid w:val="00BA64DC"/>
    <w:rsid w:val="00BA6886"/>
    <w:rsid w:val="00BA7E79"/>
    <w:rsid w:val="00BB36A0"/>
    <w:rsid w:val="00BB4408"/>
    <w:rsid w:val="00BB6760"/>
    <w:rsid w:val="00BC1817"/>
    <w:rsid w:val="00BC395F"/>
    <w:rsid w:val="00BC54DE"/>
    <w:rsid w:val="00BC5685"/>
    <w:rsid w:val="00BC5EFB"/>
    <w:rsid w:val="00BD10C2"/>
    <w:rsid w:val="00BE303A"/>
    <w:rsid w:val="00BE7023"/>
    <w:rsid w:val="00BF226C"/>
    <w:rsid w:val="00BF5FD5"/>
    <w:rsid w:val="00C00132"/>
    <w:rsid w:val="00C00C45"/>
    <w:rsid w:val="00C01627"/>
    <w:rsid w:val="00C0432E"/>
    <w:rsid w:val="00C06248"/>
    <w:rsid w:val="00C12E8E"/>
    <w:rsid w:val="00C14B35"/>
    <w:rsid w:val="00C16128"/>
    <w:rsid w:val="00C162D9"/>
    <w:rsid w:val="00C17015"/>
    <w:rsid w:val="00C2380E"/>
    <w:rsid w:val="00C32EDA"/>
    <w:rsid w:val="00C37C59"/>
    <w:rsid w:val="00C41C1C"/>
    <w:rsid w:val="00C425E9"/>
    <w:rsid w:val="00C42C96"/>
    <w:rsid w:val="00C42CE2"/>
    <w:rsid w:val="00C447BD"/>
    <w:rsid w:val="00C56CF9"/>
    <w:rsid w:val="00C576C0"/>
    <w:rsid w:val="00C616CF"/>
    <w:rsid w:val="00C63B7D"/>
    <w:rsid w:val="00C71E41"/>
    <w:rsid w:val="00C71FDA"/>
    <w:rsid w:val="00C7224C"/>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6011"/>
    <w:rsid w:val="00CC670C"/>
    <w:rsid w:val="00CE03B9"/>
    <w:rsid w:val="00CE0889"/>
    <w:rsid w:val="00CF0D41"/>
    <w:rsid w:val="00CF7AB0"/>
    <w:rsid w:val="00D00274"/>
    <w:rsid w:val="00D02773"/>
    <w:rsid w:val="00D04CCC"/>
    <w:rsid w:val="00D0696A"/>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54F43"/>
    <w:rsid w:val="00D6570D"/>
    <w:rsid w:val="00D66AE5"/>
    <w:rsid w:val="00D70EB7"/>
    <w:rsid w:val="00D743EF"/>
    <w:rsid w:val="00D75CCD"/>
    <w:rsid w:val="00D90296"/>
    <w:rsid w:val="00D9264C"/>
    <w:rsid w:val="00D94318"/>
    <w:rsid w:val="00D947C3"/>
    <w:rsid w:val="00D96BD7"/>
    <w:rsid w:val="00D96D73"/>
    <w:rsid w:val="00DA288B"/>
    <w:rsid w:val="00DB5C5F"/>
    <w:rsid w:val="00DC0022"/>
    <w:rsid w:val="00DC1756"/>
    <w:rsid w:val="00DC6860"/>
    <w:rsid w:val="00DD2C74"/>
    <w:rsid w:val="00DD4790"/>
    <w:rsid w:val="00DE1A68"/>
    <w:rsid w:val="00DE3587"/>
    <w:rsid w:val="00DE5CF7"/>
    <w:rsid w:val="00DF220B"/>
    <w:rsid w:val="00DF32AA"/>
    <w:rsid w:val="00E0308E"/>
    <w:rsid w:val="00E05F3A"/>
    <w:rsid w:val="00E06E0A"/>
    <w:rsid w:val="00E06F9D"/>
    <w:rsid w:val="00E10224"/>
    <w:rsid w:val="00E10CE0"/>
    <w:rsid w:val="00E16066"/>
    <w:rsid w:val="00E23258"/>
    <w:rsid w:val="00E23600"/>
    <w:rsid w:val="00E26303"/>
    <w:rsid w:val="00E27E8D"/>
    <w:rsid w:val="00E3632C"/>
    <w:rsid w:val="00E363E3"/>
    <w:rsid w:val="00E4354B"/>
    <w:rsid w:val="00E54C5C"/>
    <w:rsid w:val="00E63831"/>
    <w:rsid w:val="00E638F2"/>
    <w:rsid w:val="00E646AB"/>
    <w:rsid w:val="00E6600E"/>
    <w:rsid w:val="00E71079"/>
    <w:rsid w:val="00E76184"/>
    <w:rsid w:val="00E77EB7"/>
    <w:rsid w:val="00E81F9A"/>
    <w:rsid w:val="00E92FFC"/>
    <w:rsid w:val="00E9497D"/>
    <w:rsid w:val="00E95273"/>
    <w:rsid w:val="00E97021"/>
    <w:rsid w:val="00EA262B"/>
    <w:rsid w:val="00EB2668"/>
    <w:rsid w:val="00EB5E4C"/>
    <w:rsid w:val="00EC3728"/>
    <w:rsid w:val="00EC4B61"/>
    <w:rsid w:val="00EC53F8"/>
    <w:rsid w:val="00ED0423"/>
    <w:rsid w:val="00ED2B6D"/>
    <w:rsid w:val="00EE2E5C"/>
    <w:rsid w:val="00EE3461"/>
    <w:rsid w:val="00EE7E5E"/>
    <w:rsid w:val="00EF023D"/>
    <w:rsid w:val="00EF03F8"/>
    <w:rsid w:val="00EF3156"/>
    <w:rsid w:val="00EF53BC"/>
    <w:rsid w:val="00EF6A1B"/>
    <w:rsid w:val="00F1119D"/>
    <w:rsid w:val="00F11C3E"/>
    <w:rsid w:val="00F12DC6"/>
    <w:rsid w:val="00F14E31"/>
    <w:rsid w:val="00F210B5"/>
    <w:rsid w:val="00F24633"/>
    <w:rsid w:val="00F24EB3"/>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7135E"/>
    <w:rsid w:val="00F73511"/>
    <w:rsid w:val="00F773A3"/>
    <w:rsid w:val="00F8429C"/>
    <w:rsid w:val="00F86119"/>
    <w:rsid w:val="00F90FC5"/>
    <w:rsid w:val="00F945F8"/>
    <w:rsid w:val="00F97CD0"/>
    <w:rsid w:val="00FA2B1D"/>
    <w:rsid w:val="00FA44FF"/>
    <w:rsid w:val="00FA7B0D"/>
    <w:rsid w:val="00FA7C47"/>
    <w:rsid w:val="00FB2E79"/>
    <w:rsid w:val="00FB311E"/>
    <w:rsid w:val="00FB6651"/>
    <w:rsid w:val="00FC0B5F"/>
    <w:rsid w:val="00FC445C"/>
    <w:rsid w:val="00FD3B69"/>
    <w:rsid w:val="00FD6DFC"/>
    <w:rsid w:val="00FE13A3"/>
    <w:rsid w:val="00FE16FA"/>
    <w:rsid w:val="00FE1F03"/>
    <w:rsid w:val="00FE25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53AA1"/>
    <w:pPr>
      <w:tabs>
        <w:tab w:val="right" w:leader="dot" w:pos="9060"/>
      </w:tabs>
      <w:spacing w:before="120" w:after="120" w:line="240" w:lineRule="auto"/>
      <w:ind w:left="567" w:hanging="567"/>
    </w:pPr>
  </w:style>
  <w:style w:type="paragraph" w:styleId="TOC2">
    <w:name w:val="toc 2"/>
    <w:basedOn w:val="Normal"/>
    <w:next w:val="Normal"/>
    <w:autoRedefine/>
    <w:uiPriority w:val="39"/>
    <w:unhideWhenUsed/>
    <w:rsid w:val="00453AA1"/>
    <w:pPr>
      <w:tabs>
        <w:tab w:val="left" w:pos="1134"/>
        <w:tab w:val="right" w:leader="dot" w:pos="9060"/>
      </w:tabs>
      <w:spacing w:before="120" w:after="120" w:line="240" w:lineRule="auto"/>
      <w:ind w:left="851" w:hanging="851"/>
      <w:jc w:val="left"/>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7946801">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857281309">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63413576">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693072573">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building-partnerships-staying-safe-guidance-for-healthcare-organisations" TargetMode="External"/><Relationship Id="rId18" Type="http://schemas.openxmlformats.org/officeDocument/2006/relationships/hyperlink" Target="http://www.legislation.gov.uk/ukdsi/2015/9780111133309/pdfs/ukdsiod_9780111133309_en.pdf" TargetMode="External"/><Relationship Id="rId3" Type="http://schemas.openxmlformats.org/officeDocument/2006/relationships/numbering" Target="numbering.xml"/><Relationship Id="rId21" Type="http://schemas.openxmlformats.org/officeDocument/2006/relationships/hyperlink" Target="https://www.gov.uk/government/publications/channel-vulnerability-assessment" TargetMode="External"/><Relationship Id="rId7" Type="http://schemas.openxmlformats.org/officeDocument/2006/relationships/footnotes" Target="footnotes.xml"/><Relationship Id="rId12" Type="http://schemas.openxmlformats.org/officeDocument/2006/relationships/hyperlink" Target="https://www.gov.uk/government/uploads/system/uploads/attachment_data/file/215251/dh_131934.pdf" TargetMode="External"/><Relationship Id="rId17" Type="http://schemas.openxmlformats.org/officeDocument/2006/relationships/hyperlink" Target="http://www.england.nhs.uk/nhs-standard-contract/15-16/" TargetMode="External"/><Relationship Id="rId2" Type="http://schemas.openxmlformats.org/officeDocument/2006/relationships/customXml" Target="../customXml/item1.xml"/><Relationship Id="rId16" Type="http://schemas.openxmlformats.org/officeDocument/2006/relationships/hyperlink" Target="http://www.legislation.gov.uk/ukpga/1998/29/contents" TargetMode="External"/><Relationship Id="rId20" Type="http://schemas.openxmlformats.org/officeDocument/2006/relationships/hyperlink" Target="http://www.england.nhs.uk/wp-content/uploads/2015/02/train-competnc-frmwrk.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gov.uk/ukpga/2015/6/pdfs/ukpga_20150006_en.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government/uploads/system/uploads/attachment_data/file/97976/prevent-strategy-review.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le/425189/Channel_Duty_Guidance_April_2015.pdf" TargetMode="External"/><Relationship Id="rId22" Type="http://schemas.openxmlformats.org/officeDocument/2006/relationships/hyperlink" Target="https://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3</cp:revision>
  <cp:lastPrinted>2020-01-02T10:10:00Z</cp:lastPrinted>
  <dcterms:created xsi:type="dcterms:W3CDTF">2023-04-14T13:53:00Z</dcterms:created>
  <dcterms:modified xsi:type="dcterms:W3CDTF">2023-04-14T13:55:00Z</dcterms:modified>
</cp:coreProperties>
</file>