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5Dark-Accent1"/>
        <w:tblW w:w="10932" w:type="dxa"/>
        <w:jc w:val="center"/>
        <w:tblLayout w:type="fixed"/>
        <w:tblLook w:val="04A0" w:firstRow="1" w:lastRow="0" w:firstColumn="1" w:lastColumn="0" w:noHBand="0" w:noVBand="1"/>
      </w:tblPr>
      <w:tblGrid>
        <w:gridCol w:w="1980"/>
        <w:gridCol w:w="8952"/>
      </w:tblGrid>
      <w:tr w:rsidR="000B6193" w14:paraId="4CF00633" w14:textId="77777777" w:rsidTr="00E746BA">
        <w:trPr>
          <w:cnfStyle w:val="100000000000" w:firstRow="1" w:lastRow="0" w:firstColumn="0" w:lastColumn="0" w:oddVBand="0" w:evenVBand="0" w:oddHBand="0"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10932" w:type="dxa"/>
            <w:gridSpan w:val="2"/>
          </w:tcPr>
          <w:p w14:paraId="3D04DCD0" w14:textId="3DDEF895" w:rsidR="000B6193" w:rsidRDefault="000B6193" w:rsidP="004D50FC">
            <w:pPr>
              <w:spacing w:before="20" w:after="20" w:line="276" w:lineRule="auto"/>
              <w:jc w:val="center"/>
              <w:rPr>
                <w:rFonts w:ascii="Arial" w:hAnsi="Arial" w:cs="Arial"/>
                <w:b w:val="0"/>
                <w:bCs w:val="0"/>
                <w:sz w:val="28"/>
                <w:szCs w:val="28"/>
              </w:rPr>
            </w:pPr>
            <w:r w:rsidRPr="001B64E6">
              <w:rPr>
                <w:rFonts w:ascii="Arial" w:hAnsi="Arial" w:cs="Arial"/>
                <w:sz w:val="28"/>
                <w:szCs w:val="28"/>
              </w:rPr>
              <w:t xml:space="preserve">ICB’s </w:t>
            </w:r>
            <w:r w:rsidR="00E746BA" w:rsidRPr="00E746BA">
              <w:rPr>
                <w:rFonts w:ascii="Arial" w:hAnsi="Arial" w:cs="Arial"/>
                <w:sz w:val="28"/>
                <w:szCs w:val="28"/>
              </w:rPr>
              <w:t xml:space="preserve">Standards of Business Conduct </w:t>
            </w:r>
            <w:r w:rsidR="001B64E6" w:rsidRPr="001B64E6">
              <w:rPr>
                <w:rFonts w:ascii="Arial" w:hAnsi="Arial" w:cs="Arial"/>
                <w:sz w:val="28"/>
                <w:szCs w:val="28"/>
              </w:rPr>
              <w:t>Policy</w:t>
            </w:r>
          </w:p>
          <w:p w14:paraId="105CA343" w14:textId="3F0ED3B8" w:rsidR="00F25458" w:rsidRPr="001B64E6" w:rsidRDefault="00F25458" w:rsidP="004D50FC">
            <w:pPr>
              <w:spacing w:before="20" w:after="20" w:line="276" w:lineRule="auto"/>
              <w:jc w:val="center"/>
              <w:rPr>
                <w:rFonts w:ascii="Arial" w:hAnsi="Arial" w:cs="Arial"/>
                <w:sz w:val="28"/>
                <w:szCs w:val="28"/>
              </w:rPr>
            </w:pPr>
            <w:hyperlink r:id="rId10" w:history="1">
              <w:r w:rsidRPr="00E9143B">
                <w:rPr>
                  <w:rStyle w:val="Hyperlink"/>
                  <w:rFonts w:ascii="Arial" w:hAnsi="Arial" w:cs="Arial"/>
                  <w:b w:val="0"/>
                  <w:bCs w:val="0"/>
                  <w:i/>
                  <w:iCs/>
                  <w:color w:val="FFFFFF" w:themeColor="background1"/>
                </w:rPr>
                <w:t>Click</w:t>
              </w:r>
              <w:r w:rsidR="0081112E" w:rsidRPr="00E9143B">
                <w:rPr>
                  <w:rStyle w:val="Hyperlink"/>
                  <w:rFonts w:ascii="Arial" w:hAnsi="Arial" w:cs="Arial"/>
                  <w:b w:val="0"/>
                  <w:bCs w:val="0"/>
                  <w:i/>
                  <w:iCs/>
                  <w:color w:val="FFFFFF" w:themeColor="background1"/>
                </w:rPr>
                <w:t xml:space="preserve"> </w:t>
              </w:r>
              <w:r w:rsidRPr="00E9143B">
                <w:rPr>
                  <w:rStyle w:val="Hyperlink"/>
                  <w:rFonts w:ascii="Arial" w:hAnsi="Arial" w:cs="Arial"/>
                  <w:b w:val="0"/>
                  <w:bCs w:val="0"/>
                  <w:i/>
                  <w:iCs/>
                  <w:color w:val="FFFFFF" w:themeColor="background1"/>
                </w:rPr>
                <w:t>here</w:t>
              </w:r>
            </w:hyperlink>
            <w:r w:rsidRPr="00430C70">
              <w:rPr>
                <w:rFonts w:ascii="Arial" w:hAnsi="Arial" w:cs="Arial"/>
                <w:b w:val="0"/>
                <w:bCs w:val="0"/>
                <w:i/>
                <w:iCs/>
                <w:sz w:val="24"/>
                <w:szCs w:val="24"/>
              </w:rPr>
              <w:t xml:space="preserve"> t</w:t>
            </w:r>
            <w:r w:rsidRPr="00E771D6">
              <w:rPr>
                <w:rFonts w:ascii="Arial" w:hAnsi="Arial" w:cs="Arial"/>
                <w:b w:val="0"/>
                <w:bCs w:val="0"/>
                <w:i/>
                <w:iCs/>
                <w:sz w:val="24"/>
                <w:szCs w:val="24"/>
              </w:rPr>
              <w:t>o go to the full policy.</w:t>
            </w:r>
          </w:p>
        </w:tc>
      </w:tr>
      <w:tr w:rsidR="00F36539" w14:paraId="62914505" w14:textId="77777777" w:rsidTr="00032DAE">
        <w:trPr>
          <w:cnfStyle w:val="000000100000" w:firstRow="0" w:lastRow="0" w:firstColumn="0" w:lastColumn="0" w:oddVBand="0" w:evenVBand="0" w:oddHBand="1" w:evenHBand="0" w:firstRowFirstColumn="0" w:firstRowLastColumn="0" w:lastRowFirstColumn="0" w:lastRowLastColumn="0"/>
          <w:trHeight w:val="696"/>
          <w:jc w:val="center"/>
        </w:trPr>
        <w:tc>
          <w:tcPr>
            <w:cnfStyle w:val="001000000000" w:firstRow="0" w:lastRow="0" w:firstColumn="1" w:lastColumn="0" w:oddVBand="0" w:evenVBand="0" w:oddHBand="0" w:evenHBand="0" w:firstRowFirstColumn="0" w:firstRowLastColumn="0" w:lastRowFirstColumn="0" w:lastRowLastColumn="0"/>
            <w:tcW w:w="1980" w:type="dxa"/>
          </w:tcPr>
          <w:p w14:paraId="1DE077B6" w14:textId="26403B36" w:rsidR="000B6193" w:rsidRPr="00ED5FAD" w:rsidRDefault="00F36539" w:rsidP="00E746BA">
            <w:pPr>
              <w:spacing w:before="40" w:after="40" w:line="276" w:lineRule="auto"/>
              <w:rPr>
                <w:rFonts w:ascii="Arial" w:hAnsi="Arial" w:cs="Arial"/>
              </w:rPr>
            </w:pPr>
            <w:r w:rsidRPr="00ED5FAD">
              <w:rPr>
                <w:rFonts w:ascii="Arial" w:hAnsi="Arial" w:cs="Arial"/>
              </w:rPr>
              <w:t>P</w:t>
            </w:r>
            <w:r w:rsidR="00F25458" w:rsidRPr="00ED5FAD">
              <w:rPr>
                <w:rFonts w:ascii="Arial" w:hAnsi="Arial" w:cs="Arial"/>
              </w:rPr>
              <w:t>urpose</w:t>
            </w:r>
          </w:p>
        </w:tc>
        <w:tc>
          <w:tcPr>
            <w:tcW w:w="8952" w:type="dxa"/>
          </w:tcPr>
          <w:p w14:paraId="02D79E10" w14:textId="25AA7F5F" w:rsidR="00E746BA" w:rsidRPr="00ED5FAD" w:rsidRDefault="00E746BA" w:rsidP="00ED5FAD">
            <w:pPr>
              <w:tabs>
                <w:tab w:val="left" w:pos="2694"/>
              </w:tabs>
              <w:spacing w:before="40" w:after="4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sidRPr="00ED5FAD">
              <w:rPr>
                <w:rFonts w:ascii="Arial" w:hAnsi="Arial" w:cs="Arial"/>
                <w:bCs/>
                <w:color w:val="000000"/>
              </w:rPr>
              <w:t xml:space="preserve">NHS England define a conflict of interest as “a set of circumstances by which a reasonable person would consider that an individual’s ability to apply judgement or act, in the context of delivering, commissioning, or assuring taxpayer funded health and care services is, or could be, impaired/influenced by another interest they hold”. </w:t>
            </w:r>
          </w:p>
          <w:p w14:paraId="475D54F6" w14:textId="69546232" w:rsidR="00F36539" w:rsidRPr="00651EE7" w:rsidRDefault="00E746BA" w:rsidP="00ED5FAD">
            <w:pPr>
              <w:tabs>
                <w:tab w:val="left" w:pos="2694"/>
              </w:tabs>
              <w:spacing w:before="40" w:after="4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sidRPr="00ED5FAD">
              <w:rPr>
                <w:rFonts w:ascii="Arial" w:hAnsi="Arial" w:cs="Arial"/>
                <w:bCs/>
                <w:color w:val="000000"/>
              </w:rPr>
              <w:t>The ICB’s policy sets out the arrangements for managing conflicts of interest.  The Policy applies to everybody; all staff (including ICB Board</w:t>
            </w:r>
            <w:r w:rsidR="00B960AD">
              <w:rPr>
                <w:rFonts w:ascii="Arial" w:hAnsi="Arial" w:cs="Arial"/>
                <w:bCs/>
                <w:color w:val="000000"/>
              </w:rPr>
              <w:t>s</w:t>
            </w:r>
            <w:r w:rsidRPr="00ED5FAD">
              <w:rPr>
                <w:rFonts w:ascii="Arial" w:hAnsi="Arial" w:cs="Arial"/>
                <w:bCs/>
                <w:color w:val="000000"/>
              </w:rPr>
              <w:t xml:space="preserve"> and committee members and those working with the ICB</w:t>
            </w:r>
            <w:r w:rsidR="00B960AD">
              <w:rPr>
                <w:rFonts w:ascii="Arial" w:hAnsi="Arial" w:cs="Arial"/>
                <w:bCs/>
                <w:color w:val="000000"/>
              </w:rPr>
              <w:t>’s</w:t>
            </w:r>
            <w:r w:rsidRPr="00ED5FAD">
              <w:rPr>
                <w:rFonts w:ascii="Arial" w:hAnsi="Arial" w:cs="Arial"/>
                <w:bCs/>
                <w:color w:val="000000"/>
              </w:rPr>
              <w:t xml:space="preserve"> on a temporary basis) are expected to declare any relevant interests. </w:t>
            </w:r>
          </w:p>
        </w:tc>
      </w:tr>
      <w:tr w:rsidR="00F36539" w14:paraId="3DF26239" w14:textId="77777777" w:rsidTr="00032DAE">
        <w:trPr>
          <w:trHeight w:val="696"/>
          <w:jc w:val="center"/>
        </w:trPr>
        <w:tc>
          <w:tcPr>
            <w:cnfStyle w:val="001000000000" w:firstRow="0" w:lastRow="0" w:firstColumn="1" w:lastColumn="0" w:oddVBand="0" w:evenVBand="0" w:oddHBand="0" w:evenHBand="0" w:firstRowFirstColumn="0" w:firstRowLastColumn="0" w:lastRowFirstColumn="0" w:lastRowLastColumn="0"/>
            <w:tcW w:w="1980" w:type="dxa"/>
          </w:tcPr>
          <w:p w14:paraId="618A386F" w14:textId="6E524E24" w:rsidR="00F36539" w:rsidRPr="00ED5FAD" w:rsidRDefault="00E746BA" w:rsidP="00E746BA">
            <w:pPr>
              <w:spacing w:before="40" w:after="40" w:line="276" w:lineRule="auto"/>
              <w:rPr>
                <w:rFonts w:ascii="Arial" w:hAnsi="Arial" w:cs="Arial"/>
              </w:rPr>
            </w:pPr>
            <w:r w:rsidRPr="00ED5FAD">
              <w:rPr>
                <w:rFonts w:ascii="Arial" w:hAnsi="Arial" w:cs="Arial"/>
              </w:rPr>
              <w:t xml:space="preserve">Policy </w:t>
            </w:r>
            <w:r w:rsidR="00032DAE">
              <w:rPr>
                <w:rFonts w:ascii="Arial" w:hAnsi="Arial" w:cs="Arial"/>
              </w:rPr>
              <w:t>p</w:t>
            </w:r>
            <w:r w:rsidRPr="00ED5FAD">
              <w:rPr>
                <w:rFonts w:ascii="Arial" w:hAnsi="Arial" w:cs="Arial"/>
              </w:rPr>
              <w:t>rinciples</w:t>
            </w:r>
          </w:p>
        </w:tc>
        <w:tc>
          <w:tcPr>
            <w:tcW w:w="8952" w:type="dxa"/>
          </w:tcPr>
          <w:p w14:paraId="7BCB5C34" w14:textId="7A132CD6" w:rsidR="00E746BA" w:rsidRPr="00ED5FAD" w:rsidRDefault="00E746BA" w:rsidP="00ED5FAD">
            <w:pPr>
              <w:tabs>
                <w:tab w:val="left" w:pos="2694"/>
              </w:tabs>
              <w:spacing w:before="40" w:after="4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sidRPr="00ED5FAD">
              <w:rPr>
                <w:rFonts w:ascii="Arial" w:hAnsi="Arial" w:cs="Arial"/>
                <w:bCs/>
                <w:color w:val="000000"/>
              </w:rPr>
              <w:t xml:space="preserve">The </w:t>
            </w:r>
            <w:r w:rsidR="004D39E1" w:rsidRPr="00ED5FAD">
              <w:rPr>
                <w:rFonts w:ascii="Arial" w:hAnsi="Arial" w:cs="Arial"/>
                <w:bCs/>
                <w:color w:val="000000"/>
              </w:rPr>
              <w:t xml:space="preserve">Policy </w:t>
            </w:r>
            <w:r w:rsidRPr="00ED5FAD">
              <w:rPr>
                <w:rFonts w:ascii="Arial" w:hAnsi="Arial" w:cs="Arial"/>
                <w:bCs/>
                <w:color w:val="000000"/>
              </w:rPr>
              <w:t>details the ICB’s principles and arrangements for managing conflicts of interest to ensure they are handled appropriately and in an open and transparent way.  This includes:</w:t>
            </w:r>
          </w:p>
          <w:p w14:paraId="439D24E3" w14:textId="77777777" w:rsidR="00E746BA" w:rsidRPr="00ED5FAD" w:rsidRDefault="00E746BA" w:rsidP="00ED5FAD">
            <w:pPr>
              <w:pStyle w:val="ListParagraph"/>
              <w:numPr>
                <w:ilvl w:val="0"/>
                <w:numId w:val="4"/>
              </w:numPr>
              <w:tabs>
                <w:tab w:val="left" w:pos="2694"/>
              </w:tabs>
              <w:spacing w:before="40" w:after="40" w:line="276" w:lineRule="auto"/>
              <w:ind w:left="313" w:hanging="283"/>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ED5FAD">
              <w:rPr>
                <w:rFonts w:ascii="Arial" w:hAnsi="Arial" w:cs="Arial"/>
              </w:rPr>
              <w:t>Being proactive, not reactive: seeking to identify and minimise the risk of conflicts of interest at the earliest possible opportunity.</w:t>
            </w:r>
          </w:p>
          <w:p w14:paraId="25CE3432" w14:textId="77777777" w:rsidR="0027439B" w:rsidRPr="00ED5FAD" w:rsidRDefault="00E746BA" w:rsidP="00ED5FAD">
            <w:pPr>
              <w:pStyle w:val="ListParagraph"/>
              <w:numPr>
                <w:ilvl w:val="0"/>
                <w:numId w:val="4"/>
              </w:numPr>
              <w:tabs>
                <w:tab w:val="left" w:pos="2694"/>
              </w:tabs>
              <w:spacing w:before="40" w:after="40" w:line="276" w:lineRule="auto"/>
              <w:ind w:left="313" w:hanging="283"/>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ED5FAD">
              <w:rPr>
                <w:rFonts w:ascii="Arial" w:hAnsi="Arial" w:cs="Arial"/>
              </w:rPr>
              <w:t>Assuming that individuals will seek to act ethically and professionally: whilst ensuring that there are prompts and checks to identify when conflicts (may) occur.</w:t>
            </w:r>
          </w:p>
          <w:p w14:paraId="0EA3D36B" w14:textId="5F38EC4D" w:rsidR="00F36539" w:rsidRPr="00ED5FAD" w:rsidRDefault="00E746BA" w:rsidP="00ED5FAD">
            <w:pPr>
              <w:pStyle w:val="ListParagraph"/>
              <w:numPr>
                <w:ilvl w:val="0"/>
                <w:numId w:val="4"/>
              </w:numPr>
              <w:tabs>
                <w:tab w:val="left" w:pos="2694"/>
              </w:tabs>
              <w:spacing w:before="40" w:after="40" w:line="276" w:lineRule="auto"/>
              <w:ind w:left="313" w:hanging="283"/>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ED5FAD">
              <w:rPr>
                <w:rFonts w:ascii="Arial" w:hAnsi="Arial" w:cs="Arial"/>
              </w:rPr>
              <w:t>Being balanced and proportionate: identifying and managing conflicts and not expecting to eliminate conflicts completely.</w:t>
            </w:r>
          </w:p>
        </w:tc>
      </w:tr>
      <w:tr w:rsidR="00F36539" w14:paraId="3107107F" w14:textId="77777777" w:rsidTr="00032DAE">
        <w:trPr>
          <w:cnfStyle w:val="000000100000" w:firstRow="0" w:lastRow="0" w:firstColumn="0" w:lastColumn="0" w:oddVBand="0" w:evenVBand="0" w:oddHBand="1" w:evenHBand="0" w:firstRowFirstColumn="0" w:firstRowLastColumn="0" w:lastRowFirstColumn="0" w:lastRowLastColumn="0"/>
          <w:trHeight w:val="696"/>
          <w:jc w:val="center"/>
        </w:trPr>
        <w:tc>
          <w:tcPr>
            <w:cnfStyle w:val="001000000000" w:firstRow="0" w:lastRow="0" w:firstColumn="1" w:lastColumn="0" w:oddVBand="0" w:evenVBand="0" w:oddHBand="0" w:evenHBand="0" w:firstRowFirstColumn="0" w:firstRowLastColumn="0" w:lastRowFirstColumn="0" w:lastRowLastColumn="0"/>
            <w:tcW w:w="1980" w:type="dxa"/>
          </w:tcPr>
          <w:p w14:paraId="04409535" w14:textId="61E1A74E" w:rsidR="00F36539" w:rsidRPr="00ED5FAD" w:rsidRDefault="00E746BA" w:rsidP="00E746BA">
            <w:pPr>
              <w:spacing w:before="40" w:after="40" w:line="276" w:lineRule="auto"/>
              <w:rPr>
                <w:rFonts w:ascii="Arial" w:hAnsi="Arial" w:cs="Arial"/>
              </w:rPr>
            </w:pPr>
            <w:r w:rsidRPr="00ED5FAD">
              <w:rPr>
                <w:rFonts w:ascii="Arial" w:hAnsi="Arial" w:cs="Arial"/>
              </w:rPr>
              <w:t>The ICB</w:t>
            </w:r>
            <w:r w:rsidR="00B960AD">
              <w:rPr>
                <w:rFonts w:ascii="Arial" w:hAnsi="Arial" w:cs="Arial"/>
              </w:rPr>
              <w:t>’s</w:t>
            </w:r>
            <w:r w:rsidRPr="00ED5FAD">
              <w:rPr>
                <w:rFonts w:ascii="Arial" w:hAnsi="Arial" w:cs="Arial"/>
              </w:rPr>
              <w:t xml:space="preserve"> </w:t>
            </w:r>
            <w:r w:rsidR="00B960AD">
              <w:rPr>
                <w:rFonts w:ascii="Arial" w:hAnsi="Arial" w:cs="Arial"/>
              </w:rPr>
              <w:t>are</w:t>
            </w:r>
            <w:r w:rsidRPr="00ED5FAD">
              <w:rPr>
                <w:rFonts w:ascii="Arial" w:hAnsi="Arial" w:cs="Arial"/>
              </w:rPr>
              <w:t xml:space="preserve"> responsible for:</w:t>
            </w:r>
          </w:p>
        </w:tc>
        <w:tc>
          <w:tcPr>
            <w:tcW w:w="8952" w:type="dxa"/>
          </w:tcPr>
          <w:p w14:paraId="12356EC2" w14:textId="78704B87" w:rsidR="00E746BA" w:rsidRPr="00ED5FAD" w:rsidRDefault="00E746BA" w:rsidP="00ED5FAD">
            <w:pPr>
              <w:pStyle w:val="ListParagraph"/>
              <w:numPr>
                <w:ilvl w:val="0"/>
                <w:numId w:val="9"/>
              </w:numPr>
              <w:tabs>
                <w:tab w:val="left" w:pos="2694"/>
              </w:tabs>
              <w:spacing w:before="40" w:after="4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sidRPr="00ED5FAD">
              <w:rPr>
                <w:rFonts w:ascii="Arial" w:hAnsi="Arial" w:cs="Arial"/>
                <w:bCs/>
                <w:color w:val="000000"/>
              </w:rPr>
              <w:t>Ensuring that the Standards of Business Conduct Policy and its supporting processes are clear and help staff understand what they need to do. This includes providing advice and support for staff as to how interests should be manage</w:t>
            </w:r>
            <w:r w:rsidR="0027439B" w:rsidRPr="00ED5FAD">
              <w:rPr>
                <w:rFonts w:ascii="Arial" w:hAnsi="Arial" w:cs="Arial"/>
                <w:bCs/>
                <w:color w:val="000000"/>
              </w:rPr>
              <w:t>d.</w:t>
            </w:r>
          </w:p>
          <w:p w14:paraId="6B4BF7EB" w14:textId="698C2FE6" w:rsidR="0027439B" w:rsidRPr="00ED5FAD" w:rsidRDefault="00E746BA" w:rsidP="00ED5FAD">
            <w:pPr>
              <w:pStyle w:val="ListParagraph"/>
              <w:numPr>
                <w:ilvl w:val="0"/>
                <w:numId w:val="9"/>
              </w:numPr>
              <w:tabs>
                <w:tab w:val="left" w:pos="2694"/>
              </w:tabs>
              <w:spacing w:before="40" w:after="4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ED5FAD">
              <w:rPr>
                <w:rFonts w:ascii="Arial" w:hAnsi="Arial" w:cs="Arial"/>
                <w:bCs/>
                <w:color w:val="000000"/>
              </w:rPr>
              <w:t xml:space="preserve">Maintaining and publishing a Register of Declared Interests and ensuring that sound records are kept </w:t>
            </w:r>
            <w:r w:rsidR="00032DAE" w:rsidRPr="00ED5FAD">
              <w:rPr>
                <w:rFonts w:ascii="Arial" w:hAnsi="Arial" w:cs="Arial"/>
                <w:bCs/>
                <w:color w:val="000000"/>
              </w:rPr>
              <w:t>ensuring</w:t>
            </w:r>
            <w:r w:rsidRPr="00ED5FAD">
              <w:rPr>
                <w:rFonts w:ascii="Arial" w:hAnsi="Arial" w:cs="Arial"/>
                <w:bCs/>
                <w:color w:val="000000"/>
              </w:rPr>
              <w:t xml:space="preserve"> that all</w:t>
            </w:r>
            <w:r w:rsidR="00B960AD">
              <w:rPr>
                <w:rFonts w:ascii="Arial" w:hAnsi="Arial" w:cs="Arial"/>
                <w:bCs/>
                <w:color w:val="000000"/>
              </w:rPr>
              <w:t xml:space="preserve"> of the</w:t>
            </w:r>
            <w:r w:rsidRPr="00ED5FAD">
              <w:rPr>
                <w:rFonts w:ascii="Arial" w:hAnsi="Arial" w:cs="Arial"/>
                <w:bCs/>
                <w:color w:val="000000"/>
              </w:rPr>
              <w:t xml:space="preserve"> ICB</w:t>
            </w:r>
            <w:r w:rsidR="00B960AD">
              <w:rPr>
                <w:rFonts w:ascii="Arial" w:hAnsi="Arial" w:cs="Arial"/>
                <w:bCs/>
                <w:color w:val="000000"/>
              </w:rPr>
              <w:t>’s</w:t>
            </w:r>
            <w:r w:rsidRPr="00ED5FAD">
              <w:rPr>
                <w:rFonts w:ascii="Arial" w:hAnsi="Arial" w:cs="Arial"/>
                <w:bCs/>
                <w:color w:val="000000"/>
              </w:rPr>
              <w:t xml:space="preserve"> decisions are able to withstand scrutiny.</w:t>
            </w:r>
          </w:p>
          <w:p w14:paraId="3CA8C129" w14:textId="529F25ED" w:rsidR="00F36539" w:rsidRPr="00ED5FAD" w:rsidRDefault="00E746BA" w:rsidP="00ED5FAD">
            <w:pPr>
              <w:pStyle w:val="ListParagraph"/>
              <w:numPr>
                <w:ilvl w:val="0"/>
                <w:numId w:val="9"/>
              </w:numPr>
              <w:tabs>
                <w:tab w:val="left" w:pos="2694"/>
              </w:tabs>
              <w:spacing w:before="40" w:after="4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ED5FAD">
              <w:rPr>
                <w:rFonts w:ascii="Arial" w:hAnsi="Arial" w:cs="Arial"/>
                <w:bCs/>
                <w:color w:val="000000"/>
              </w:rPr>
              <w:t xml:space="preserve">Ensuring a culture of transparency and openness, </w:t>
            </w:r>
            <w:r w:rsidR="0089380F">
              <w:rPr>
                <w:rFonts w:ascii="Arial" w:hAnsi="Arial" w:cs="Arial"/>
                <w:bCs/>
                <w:color w:val="000000"/>
              </w:rPr>
              <w:t>to</w:t>
            </w:r>
            <w:r w:rsidRPr="00ED5FAD">
              <w:rPr>
                <w:rFonts w:ascii="Arial" w:hAnsi="Arial" w:cs="Arial"/>
                <w:bCs/>
                <w:color w:val="000000"/>
              </w:rPr>
              <w:t xml:space="preserve"> assure</w:t>
            </w:r>
            <w:r w:rsidR="0089380F">
              <w:rPr>
                <w:rFonts w:ascii="Arial" w:hAnsi="Arial" w:cs="Arial"/>
                <w:bCs/>
                <w:color w:val="000000"/>
              </w:rPr>
              <w:t xml:space="preserve"> </w:t>
            </w:r>
            <w:r w:rsidRPr="00ED5FAD">
              <w:rPr>
                <w:rFonts w:ascii="Arial" w:hAnsi="Arial" w:cs="Arial"/>
                <w:bCs/>
                <w:color w:val="000000"/>
              </w:rPr>
              <w:t xml:space="preserve">the public, our staff and our partner organisations that </w:t>
            </w:r>
            <w:r w:rsidR="0089380F">
              <w:rPr>
                <w:rFonts w:ascii="Arial" w:hAnsi="Arial" w:cs="Arial"/>
                <w:bCs/>
                <w:color w:val="000000"/>
              </w:rPr>
              <w:t>our duties are</w:t>
            </w:r>
            <w:r w:rsidRPr="00ED5FAD">
              <w:rPr>
                <w:rFonts w:ascii="Arial" w:hAnsi="Arial" w:cs="Arial"/>
                <w:bCs/>
                <w:color w:val="000000"/>
              </w:rPr>
              <w:t xml:space="preserve"> conducted to the highest standards of integrity.</w:t>
            </w:r>
          </w:p>
        </w:tc>
      </w:tr>
      <w:tr w:rsidR="00F36539" w14:paraId="2EF16B2D" w14:textId="77777777" w:rsidTr="00032DAE">
        <w:trPr>
          <w:trHeight w:val="696"/>
          <w:jc w:val="center"/>
        </w:trPr>
        <w:tc>
          <w:tcPr>
            <w:cnfStyle w:val="001000000000" w:firstRow="0" w:lastRow="0" w:firstColumn="1" w:lastColumn="0" w:oddVBand="0" w:evenVBand="0" w:oddHBand="0" w:evenHBand="0" w:firstRowFirstColumn="0" w:firstRowLastColumn="0" w:lastRowFirstColumn="0" w:lastRowLastColumn="0"/>
            <w:tcW w:w="1980" w:type="dxa"/>
          </w:tcPr>
          <w:p w14:paraId="2F4A1031" w14:textId="5074864D" w:rsidR="00F36539" w:rsidRPr="00ED5FAD" w:rsidRDefault="00E746BA" w:rsidP="00E746BA">
            <w:pPr>
              <w:spacing w:before="40" w:after="40" w:line="276" w:lineRule="auto"/>
              <w:rPr>
                <w:rFonts w:ascii="Arial" w:hAnsi="Arial" w:cs="Arial"/>
              </w:rPr>
            </w:pPr>
            <w:r w:rsidRPr="00ED5FAD">
              <w:rPr>
                <w:rFonts w:ascii="Arial" w:hAnsi="Arial" w:cs="Arial"/>
              </w:rPr>
              <w:t>Employees are responsible for:</w:t>
            </w:r>
          </w:p>
        </w:tc>
        <w:tc>
          <w:tcPr>
            <w:tcW w:w="8952" w:type="dxa"/>
          </w:tcPr>
          <w:p w14:paraId="59723EE7" w14:textId="0EE3FFDC" w:rsidR="00651EE7" w:rsidRDefault="00E746BA" w:rsidP="00651EE7">
            <w:pPr>
              <w:pStyle w:val="ListParagraph"/>
              <w:numPr>
                <w:ilvl w:val="0"/>
                <w:numId w:val="9"/>
              </w:numPr>
              <w:tabs>
                <w:tab w:val="left" w:pos="2694"/>
              </w:tabs>
              <w:spacing w:before="40" w:after="4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sidRPr="00651EE7">
              <w:rPr>
                <w:rFonts w:ascii="Arial" w:hAnsi="Arial" w:cs="Arial"/>
                <w:bCs/>
                <w:color w:val="000000"/>
              </w:rPr>
              <w:t xml:space="preserve">Ensuring you have sufficient knowledge on conflicts of interest to perform your role in line with the Policy.  </w:t>
            </w:r>
          </w:p>
          <w:p w14:paraId="42C40601" w14:textId="70A08744" w:rsidR="00E746BA" w:rsidRPr="00651EE7" w:rsidRDefault="00E746BA" w:rsidP="00651EE7">
            <w:pPr>
              <w:pStyle w:val="ListParagraph"/>
              <w:numPr>
                <w:ilvl w:val="0"/>
                <w:numId w:val="9"/>
              </w:numPr>
              <w:tabs>
                <w:tab w:val="left" w:pos="2694"/>
              </w:tabs>
              <w:spacing w:before="40" w:after="4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sidRPr="00651EE7">
              <w:rPr>
                <w:rFonts w:ascii="Arial" w:hAnsi="Arial" w:cs="Arial"/>
                <w:bCs/>
                <w:color w:val="000000"/>
              </w:rPr>
              <w:t>Familiarising yourself with the Policy and ensuring it is followed.</w:t>
            </w:r>
          </w:p>
          <w:p w14:paraId="7E613E6E" w14:textId="77777777" w:rsidR="0027439B" w:rsidRPr="00ED5FAD" w:rsidRDefault="00E746BA" w:rsidP="00651EE7">
            <w:pPr>
              <w:pStyle w:val="ListParagraph"/>
              <w:numPr>
                <w:ilvl w:val="0"/>
                <w:numId w:val="9"/>
              </w:numPr>
              <w:tabs>
                <w:tab w:val="left" w:pos="2694"/>
              </w:tabs>
              <w:spacing w:before="40" w:after="4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sidRPr="00ED5FAD">
              <w:rPr>
                <w:rFonts w:ascii="Arial" w:hAnsi="Arial" w:cs="Arial"/>
                <w:bCs/>
                <w:color w:val="000000"/>
              </w:rPr>
              <w:t xml:space="preserve">Reporting any relevant interests (which includes certain offers of gifts and hospitality) within 28 days of becoming aware of them or as soon as is reasonably practicable.  </w:t>
            </w:r>
          </w:p>
          <w:p w14:paraId="475BFC78" w14:textId="3E39A3D3" w:rsidR="003A3084" w:rsidRPr="003A3084" w:rsidRDefault="00E746BA" w:rsidP="00651EE7">
            <w:pPr>
              <w:pStyle w:val="ListParagraph"/>
              <w:numPr>
                <w:ilvl w:val="0"/>
                <w:numId w:val="9"/>
              </w:numPr>
              <w:tabs>
                <w:tab w:val="left" w:pos="2694"/>
              </w:tabs>
              <w:spacing w:before="40" w:after="4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sidRPr="00ED5FAD">
              <w:rPr>
                <w:rFonts w:ascii="Arial" w:hAnsi="Arial" w:cs="Arial"/>
                <w:bCs/>
                <w:color w:val="000000"/>
              </w:rPr>
              <w:t>Seeking further advice where there is any uncertainty on the requirements.</w:t>
            </w:r>
          </w:p>
        </w:tc>
      </w:tr>
      <w:tr w:rsidR="00F36539" w14:paraId="1E7E94B3" w14:textId="77777777" w:rsidTr="00032DAE">
        <w:trPr>
          <w:cnfStyle w:val="000000100000" w:firstRow="0" w:lastRow="0" w:firstColumn="0" w:lastColumn="0" w:oddVBand="0" w:evenVBand="0" w:oddHBand="1" w:evenHBand="0" w:firstRowFirstColumn="0" w:firstRowLastColumn="0" w:lastRowFirstColumn="0" w:lastRowLastColumn="0"/>
          <w:trHeight w:val="696"/>
          <w:jc w:val="center"/>
        </w:trPr>
        <w:tc>
          <w:tcPr>
            <w:cnfStyle w:val="001000000000" w:firstRow="0" w:lastRow="0" w:firstColumn="1" w:lastColumn="0" w:oddVBand="0" w:evenVBand="0" w:oddHBand="0" w:evenHBand="0" w:firstRowFirstColumn="0" w:firstRowLastColumn="0" w:lastRowFirstColumn="0" w:lastRowLastColumn="0"/>
            <w:tcW w:w="1980" w:type="dxa"/>
          </w:tcPr>
          <w:p w14:paraId="0474C07F" w14:textId="10FD53CC" w:rsidR="00F36539" w:rsidRPr="00ED5FAD" w:rsidRDefault="00E746BA" w:rsidP="00E746BA">
            <w:pPr>
              <w:spacing w:before="40" w:after="40" w:line="276" w:lineRule="auto"/>
              <w:rPr>
                <w:rFonts w:ascii="Arial" w:hAnsi="Arial" w:cs="Arial"/>
              </w:rPr>
            </w:pPr>
            <w:r w:rsidRPr="00ED5FAD">
              <w:rPr>
                <w:rFonts w:ascii="Arial" w:hAnsi="Arial" w:cs="Arial"/>
              </w:rPr>
              <w:t xml:space="preserve">Key </w:t>
            </w:r>
            <w:r w:rsidR="00ED5FAD" w:rsidRPr="00ED5FAD">
              <w:rPr>
                <w:rFonts w:ascii="Arial" w:hAnsi="Arial" w:cs="Arial"/>
              </w:rPr>
              <w:t>points</w:t>
            </w:r>
            <w:r w:rsidRPr="00ED5FAD">
              <w:rPr>
                <w:rFonts w:ascii="Arial" w:hAnsi="Arial" w:cs="Arial"/>
              </w:rPr>
              <w:t xml:space="preserve"> on making declarations of interest:</w:t>
            </w:r>
          </w:p>
        </w:tc>
        <w:tc>
          <w:tcPr>
            <w:tcW w:w="8952" w:type="dxa"/>
          </w:tcPr>
          <w:p w14:paraId="66DA6FAD" w14:textId="77777777" w:rsidR="00E746BA" w:rsidRPr="00ED5FAD" w:rsidRDefault="00E746BA" w:rsidP="00ED5FAD">
            <w:pPr>
              <w:tabs>
                <w:tab w:val="left" w:pos="2694"/>
              </w:tabs>
              <w:spacing w:before="40" w:after="4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sidRPr="00ED5FAD">
              <w:rPr>
                <w:rFonts w:ascii="Arial" w:hAnsi="Arial" w:cs="Arial"/>
                <w:bCs/>
                <w:color w:val="000000"/>
              </w:rPr>
              <w:t>Questions you can ask yourself to help determine whether you have a relevant interest that needs declaring are:</w:t>
            </w:r>
          </w:p>
          <w:p w14:paraId="64FB3329" w14:textId="77777777" w:rsidR="00E746BA" w:rsidRPr="00ED5FAD" w:rsidRDefault="00E746BA" w:rsidP="00ED5FAD">
            <w:pPr>
              <w:pStyle w:val="ListParagraph"/>
              <w:numPr>
                <w:ilvl w:val="0"/>
                <w:numId w:val="4"/>
              </w:numPr>
              <w:tabs>
                <w:tab w:val="left" w:pos="2694"/>
              </w:tabs>
              <w:spacing w:before="40" w:after="40" w:line="276" w:lineRule="auto"/>
              <w:ind w:left="313" w:hanging="283"/>
              <w:contextualSpacing w:val="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D5FAD">
              <w:rPr>
                <w:rFonts w:ascii="Arial" w:hAnsi="Arial" w:cs="Arial"/>
              </w:rPr>
              <w:t xml:space="preserve">What is the type of interest I hold? The way in which you could potentially be advantaged or disadvantaged (or perceived to be as such) is particularly important – </w:t>
            </w:r>
            <w:r w:rsidRPr="00ED5FAD">
              <w:rPr>
                <w:rFonts w:ascii="Arial" w:hAnsi="Arial" w:cs="Arial"/>
                <w:b/>
                <w:bCs/>
              </w:rPr>
              <w:t>categories and examples of types of interest are provided at Appendix A.</w:t>
            </w:r>
          </w:p>
          <w:p w14:paraId="13E69AA4" w14:textId="73B30C61" w:rsidR="00E746BA" w:rsidRPr="00ED5FAD" w:rsidRDefault="00E746BA" w:rsidP="00ED5FAD">
            <w:pPr>
              <w:pStyle w:val="ListParagraph"/>
              <w:numPr>
                <w:ilvl w:val="0"/>
                <w:numId w:val="4"/>
              </w:numPr>
              <w:tabs>
                <w:tab w:val="left" w:pos="2694"/>
              </w:tabs>
              <w:spacing w:before="40" w:after="40" w:line="276" w:lineRule="auto"/>
              <w:ind w:left="313" w:hanging="283"/>
              <w:contextualSpacing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ED5FAD">
              <w:rPr>
                <w:rFonts w:ascii="Arial" w:hAnsi="Arial" w:cs="Arial"/>
              </w:rPr>
              <w:t>Will my role contribute to decisions made about any organisation I hold an interest in (</w:t>
            </w:r>
            <w:r w:rsidR="00032DAE" w:rsidRPr="00ED5FAD">
              <w:rPr>
                <w:rFonts w:ascii="Arial" w:hAnsi="Arial" w:cs="Arial"/>
              </w:rPr>
              <w:t>e.g.</w:t>
            </w:r>
            <w:r w:rsidRPr="00ED5FAD">
              <w:rPr>
                <w:rFonts w:ascii="Arial" w:hAnsi="Arial" w:cs="Arial"/>
              </w:rPr>
              <w:t xml:space="preserve"> a commissioning role which might lead to decisions being made about a provider you/your spouse/a close relative have shares in)?</w:t>
            </w:r>
          </w:p>
          <w:p w14:paraId="10C74AE4" w14:textId="754303C9" w:rsidR="00E746BA" w:rsidRPr="00ED5FAD" w:rsidRDefault="00E746BA" w:rsidP="00ED5FAD">
            <w:pPr>
              <w:pStyle w:val="ListParagraph"/>
              <w:numPr>
                <w:ilvl w:val="0"/>
                <w:numId w:val="9"/>
              </w:numPr>
              <w:tabs>
                <w:tab w:val="left" w:pos="2694"/>
              </w:tabs>
              <w:spacing w:before="40" w:after="4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sidRPr="00ED5FAD">
              <w:rPr>
                <w:rFonts w:ascii="Arial" w:hAnsi="Arial" w:cs="Arial"/>
                <w:bCs/>
                <w:color w:val="000000"/>
              </w:rPr>
              <w:t xml:space="preserve">Could my interest(s) be advantaged in anyway by my role </w:t>
            </w:r>
            <w:r w:rsidR="00B960AD">
              <w:rPr>
                <w:rFonts w:ascii="Arial" w:hAnsi="Arial" w:cs="Arial"/>
                <w:bCs/>
                <w:color w:val="000000"/>
              </w:rPr>
              <w:t xml:space="preserve">within </w:t>
            </w:r>
            <w:r w:rsidRPr="00ED5FAD">
              <w:rPr>
                <w:rFonts w:ascii="Arial" w:hAnsi="Arial" w:cs="Arial"/>
                <w:bCs/>
                <w:color w:val="000000"/>
              </w:rPr>
              <w:t>the ICB</w:t>
            </w:r>
            <w:r w:rsidR="00B960AD">
              <w:rPr>
                <w:rFonts w:ascii="Arial" w:hAnsi="Arial" w:cs="Arial"/>
                <w:bCs/>
                <w:color w:val="000000"/>
              </w:rPr>
              <w:t xml:space="preserve">’s </w:t>
            </w:r>
            <w:r w:rsidRPr="00ED5FAD">
              <w:rPr>
                <w:rFonts w:ascii="Arial" w:hAnsi="Arial" w:cs="Arial"/>
                <w:bCs/>
                <w:color w:val="000000"/>
              </w:rPr>
              <w:t>– this includes the potential for any public perception that you (or your partner, a relative or close associate) may be advantaged, even if it</w:t>
            </w:r>
            <w:r w:rsidR="00651EE7">
              <w:rPr>
                <w:rFonts w:ascii="Arial" w:hAnsi="Arial" w:cs="Arial"/>
                <w:bCs/>
                <w:color w:val="000000"/>
              </w:rPr>
              <w:t xml:space="preserve"> i</w:t>
            </w:r>
            <w:r w:rsidRPr="00ED5FAD">
              <w:rPr>
                <w:rFonts w:ascii="Arial" w:hAnsi="Arial" w:cs="Arial"/>
                <w:bCs/>
                <w:color w:val="000000"/>
              </w:rPr>
              <w:t>s not the case.</w:t>
            </w:r>
          </w:p>
          <w:p w14:paraId="4890C0FA" w14:textId="0C442FB3" w:rsidR="00E746BA" w:rsidRPr="00ED5FAD" w:rsidRDefault="00E746BA" w:rsidP="00ED5FAD">
            <w:pPr>
              <w:pStyle w:val="ListParagraph"/>
              <w:numPr>
                <w:ilvl w:val="0"/>
                <w:numId w:val="9"/>
              </w:numPr>
              <w:tabs>
                <w:tab w:val="left" w:pos="2694"/>
              </w:tabs>
              <w:spacing w:before="40" w:after="4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sidRPr="00ED5FAD">
              <w:rPr>
                <w:rFonts w:ascii="Arial" w:hAnsi="Arial" w:cs="Arial"/>
                <w:bCs/>
                <w:color w:val="000000"/>
              </w:rPr>
              <w:lastRenderedPageBreak/>
              <w:t>Does my interest have anything to do with the ICB</w:t>
            </w:r>
            <w:r w:rsidR="00B960AD">
              <w:rPr>
                <w:rFonts w:ascii="Arial" w:hAnsi="Arial" w:cs="Arial"/>
                <w:bCs/>
                <w:color w:val="000000"/>
              </w:rPr>
              <w:t>’s</w:t>
            </w:r>
            <w:r w:rsidRPr="00ED5FAD">
              <w:rPr>
                <w:rFonts w:ascii="Arial" w:hAnsi="Arial" w:cs="Arial"/>
                <w:bCs/>
                <w:color w:val="000000"/>
              </w:rPr>
              <w:t xml:space="preserve"> or </w:t>
            </w:r>
            <w:r w:rsidR="00B960AD">
              <w:rPr>
                <w:rFonts w:ascii="Arial" w:hAnsi="Arial" w:cs="Arial"/>
                <w:bCs/>
                <w:color w:val="000000"/>
              </w:rPr>
              <w:t>their</w:t>
            </w:r>
            <w:r w:rsidRPr="00ED5FAD">
              <w:rPr>
                <w:rFonts w:ascii="Arial" w:hAnsi="Arial" w:cs="Arial"/>
                <w:bCs/>
                <w:color w:val="000000"/>
              </w:rPr>
              <w:t xml:space="preserve"> activities? There is no need to declare interests which are completely unrelated to the ICB</w:t>
            </w:r>
            <w:r w:rsidR="00B960AD">
              <w:rPr>
                <w:rFonts w:ascii="Arial" w:hAnsi="Arial" w:cs="Arial"/>
                <w:bCs/>
                <w:color w:val="000000"/>
              </w:rPr>
              <w:t>’s</w:t>
            </w:r>
            <w:r w:rsidRPr="00ED5FAD">
              <w:rPr>
                <w:rFonts w:ascii="Arial" w:hAnsi="Arial" w:cs="Arial"/>
                <w:bCs/>
                <w:color w:val="000000"/>
              </w:rPr>
              <w:t xml:space="preserve"> – however, it is advisable that you discuss these with your manager or the ICB’s governance leads to ensure this is definitely the case.</w:t>
            </w:r>
          </w:p>
          <w:p w14:paraId="744820D7" w14:textId="5F0CA01D" w:rsidR="00E746BA" w:rsidRPr="00ED5FAD" w:rsidRDefault="00E746BA" w:rsidP="00ED5FAD">
            <w:pPr>
              <w:pStyle w:val="ListParagraph"/>
              <w:numPr>
                <w:ilvl w:val="0"/>
                <w:numId w:val="9"/>
              </w:numPr>
              <w:tabs>
                <w:tab w:val="left" w:pos="2694"/>
              </w:tabs>
              <w:spacing w:before="40" w:after="4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sidRPr="00ED5FAD">
              <w:rPr>
                <w:rFonts w:ascii="Arial" w:hAnsi="Arial" w:cs="Arial"/>
                <w:bCs/>
                <w:color w:val="000000"/>
              </w:rPr>
              <w:t xml:space="preserve">What does my team do that might be relevant to my interest?  </w:t>
            </w:r>
            <w:r w:rsidR="00032DAE" w:rsidRPr="00ED5FAD">
              <w:rPr>
                <w:rFonts w:ascii="Arial" w:hAnsi="Arial" w:cs="Arial"/>
                <w:bCs/>
                <w:color w:val="000000"/>
              </w:rPr>
              <w:t>E.g.</w:t>
            </w:r>
            <w:r w:rsidRPr="00ED5FAD">
              <w:rPr>
                <w:rFonts w:ascii="Arial" w:hAnsi="Arial" w:cs="Arial"/>
                <w:bCs/>
                <w:color w:val="000000"/>
              </w:rPr>
              <w:t xml:space="preserve"> all staff working in primary care and medicines management may need to declare which practice they belong to and ensure, with their line manager, that actions are implemented to mitigate against any conflict, or perceived conflict, of interest occurring.</w:t>
            </w:r>
          </w:p>
          <w:p w14:paraId="0E20D923" w14:textId="77777777" w:rsidR="00E746BA" w:rsidRPr="00ED5FAD" w:rsidRDefault="00E746BA" w:rsidP="00ED5FAD">
            <w:pPr>
              <w:tabs>
                <w:tab w:val="left" w:pos="2694"/>
              </w:tabs>
              <w:spacing w:before="40" w:after="4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sidRPr="00ED5FAD">
              <w:rPr>
                <w:rFonts w:ascii="Arial" w:hAnsi="Arial" w:cs="Arial"/>
                <w:bCs/>
                <w:color w:val="000000"/>
              </w:rPr>
              <w:t xml:space="preserve">Talk to your line manager about any interests you hold in the first instance – together, you are best placed to work out if your interests’ conflict with your role or the work of your team and you can then identify the appropriate management actions. </w:t>
            </w:r>
          </w:p>
          <w:p w14:paraId="0E0986A1" w14:textId="1D36BF1A" w:rsidR="00F36539" w:rsidRPr="00ED5FAD" w:rsidRDefault="00E746BA" w:rsidP="00ED5FAD">
            <w:pPr>
              <w:spacing w:before="40" w:after="4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ED5FAD">
              <w:rPr>
                <w:rFonts w:ascii="Arial" w:hAnsi="Arial" w:cs="Arial"/>
                <w:b/>
                <w:bCs/>
                <w:color w:val="000000"/>
              </w:rPr>
              <w:t xml:space="preserve">If in doubt, </w:t>
            </w:r>
            <w:r w:rsidRPr="00ED5FAD">
              <w:rPr>
                <w:rFonts w:ascii="Arial" w:hAnsi="Arial" w:cs="Arial"/>
                <w:b/>
                <w:bCs/>
                <w:color w:val="000000"/>
                <w:u w:val="single"/>
              </w:rPr>
              <w:t>declare</w:t>
            </w:r>
            <w:r w:rsidRPr="00ED5FAD">
              <w:rPr>
                <w:rFonts w:ascii="Arial" w:hAnsi="Arial" w:cs="Arial"/>
                <w:b/>
                <w:bCs/>
                <w:color w:val="000000"/>
              </w:rPr>
              <w:t xml:space="preserve"> </w:t>
            </w:r>
            <w:r w:rsidRPr="00ED5FAD">
              <w:rPr>
                <w:rFonts w:ascii="Arial" w:hAnsi="Arial" w:cs="Arial"/>
                <w:bCs/>
                <w:color w:val="000000"/>
              </w:rPr>
              <w:t>– the ICB’s governance leads can advise as to whether this is a relevant interest or not and determine whether it needs including on the Register.</w:t>
            </w:r>
          </w:p>
        </w:tc>
      </w:tr>
      <w:tr w:rsidR="003A3084" w14:paraId="1BD4A6EA" w14:textId="77777777" w:rsidTr="00032DAE">
        <w:trPr>
          <w:trHeight w:val="696"/>
          <w:jc w:val="center"/>
        </w:trPr>
        <w:tc>
          <w:tcPr>
            <w:cnfStyle w:val="001000000000" w:firstRow="0" w:lastRow="0" w:firstColumn="1" w:lastColumn="0" w:oddVBand="0" w:evenVBand="0" w:oddHBand="0" w:evenHBand="0" w:firstRowFirstColumn="0" w:firstRowLastColumn="0" w:lastRowFirstColumn="0" w:lastRowLastColumn="0"/>
            <w:tcW w:w="1980" w:type="dxa"/>
          </w:tcPr>
          <w:p w14:paraId="4643C324" w14:textId="1A651CE5" w:rsidR="003A3084" w:rsidRPr="003A3084" w:rsidRDefault="003A3084" w:rsidP="003A3084">
            <w:pPr>
              <w:pStyle w:val="Heading3"/>
              <w:numPr>
                <w:ilvl w:val="0"/>
                <w:numId w:val="0"/>
              </w:numPr>
              <w:rPr>
                <w:rFonts w:ascii="Arial" w:eastAsiaTheme="minorHAnsi" w:hAnsi="Arial"/>
                <w:b/>
                <w:bCs/>
                <w:sz w:val="22"/>
                <w:lang w:eastAsia="en-US"/>
              </w:rPr>
            </w:pPr>
            <w:bookmarkStart w:id="0" w:name="_Toc106967660"/>
            <w:bookmarkStart w:id="1" w:name="_Toc139985337"/>
            <w:r w:rsidRPr="003A3084">
              <w:rPr>
                <w:rFonts w:ascii="Arial" w:eastAsiaTheme="minorHAnsi" w:hAnsi="Arial"/>
                <w:b/>
                <w:bCs/>
                <w:sz w:val="22"/>
                <w:lang w:eastAsia="en-US"/>
              </w:rPr>
              <w:lastRenderedPageBreak/>
              <w:t>Decision-</w:t>
            </w:r>
            <w:r>
              <w:rPr>
                <w:rFonts w:ascii="Arial" w:eastAsiaTheme="minorHAnsi" w:hAnsi="Arial"/>
                <w:b/>
                <w:bCs/>
                <w:sz w:val="22"/>
                <w:lang w:eastAsia="en-US"/>
              </w:rPr>
              <w:t>m</w:t>
            </w:r>
            <w:r w:rsidRPr="003A3084">
              <w:rPr>
                <w:rFonts w:ascii="Arial" w:eastAsiaTheme="minorHAnsi" w:hAnsi="Arial"/>
                <w:b/>
                <w:bCs/>
                <w:sz w:val="22"/>
                <w:lang w:eastAsia="en-US"/>
              </w:rPr>
              <w:t xml:space="preserve">aking </w:t>
            </w:r>
            <w:r>
              <w:rPr>
                <w:rFonts w:ascii="Arial" w:eastAsiaTheme="minorHAnsi" w:hAnsi="Arial"/>
                <w:b/>
                <w:bCs/>
                <w:sz w:val="22"/>
                <w:lang w:eastAsia="en-US"/>
              </w:rPr>
              <w:t>o</w:t>
            </w:r>
            <w:r w:rsidRPr="003A3084">
              <w:rPr>
                <w:rFonts w:ascii="Arial" w:eastAsiaTheme="minorHAnsi" w:hAnsi="Arial"/>
                <w:b/>
                <w:bCs/>
                <w:sz w:val="22"/>
                <w:lang w:eastAsia="en-US"/>
              </w:rPr>
              <w:t>fficers</w:t>
            </w:r>
            <w:bookmarkEnd w:id="0"/>
            <w:bookmarkEnd w:id="1"/>
            <w:r w:rsidRPr="003A3084">
              <w:rPr>
                <w:rFonts w:ascii="Arial" w:eastAsiaTheme="minorHAnsi" w:hAnsi="Arial"/>
                <w:b/>
                <w:bCs/>
                <w:sz w:val="22"/>
                <w:lang w:eastAsia="en-US"/>
              </w:rPr>
              <w:t xml:space="preserve"> </w:t>
            </w:r>
          </w:p>
          <w:p w14:paraId="73E85567" w14:textId="77777777" w:rsidR="003A3084" w:rsidRPr="00ED5FAD" w:rsidRDefault="003A3084" w:rsidP="003A3084">
            <w:pPr>
              <w:spacing w:before="40" w:after="40"/>
              <w:rPr>
                <w:rFonts w:ascii="Arial" w:hAnsi="Arial" w:cs="Arial"/>
              </w:rPr>
            </w:pPr>
          </w:p>
        </w:tc>
        <w:tc>
          <w:tcPr>
            <w:tcW w:w="8952" w:type="dxa"/>
          </w:tcPr>
          <w:p w14:paraId="33213400" w14:textId="684FA29F" w:rsidR="003A3084" w:rsidRPr="00ED5FAD" w:rsidRDefault="003A3084" w:rsidP="003A3084">
            <w:pPr>
              <w:tabs>
                <w:tab w:val="left" w:pos="2694"/>
              </w:tabs>
              <w:spacing w:before="40" w:after="4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sidRPr="003A3084">
              <w:rPr>
                <w:rFonts w:ascii="Arial" w:hAnsi="Arial" w:cs="Arial"/>
                <w:bCs/>
                <w:color w:val="000000"/>
              </w:rPr>
              <w:t>Some individuals are more likely than others to have a decision-making role or influence on the use of public money because of the requirements of their role. In the context of this policy ‘decision-making officers’ are defined as members of the ICB Board</w:t>
            </w:r>
            <w:r w:rsidR="00B960AD">
              <w:rPr>
                <w:rFonts w:ascii="Arial" w:hAnsi="Arial" w:cs="Arial"/>
                <w:bCs/>
                <w:color w:val="000000"/>
              </w:rPr>
              <w:t>’s</w:t>
            </w:r>
            <w:r w:rsidRPr="003A3084">
              <w:rPr>
                <w:rFonts w:ascii="Arial" w:hAnsi="Arial" w:cs="Arial"/>
                <w:bCs/>
                <w:color w:val="000000"/>
              </w:rPr>
              <w:t xml:space="preserve"> and its committees, members of formal decision-making groups and ICB</w:t>
            </w:r>
            <w:r w:rsidR="00B960AD">
              <w:rPr>
                <w:rFonts w:ascii="Arial" w:hAnsi="Arial" w:cs="Arial"/>
                <w:bCs/>
                <w:color w:val="000000"/>
              </w:rPr>
              <w:t>’s</w:t>
            </w:r>
            <w:r w:rsidRPr="003A3084">
              <w:rPr>
                <w:rFonts w:ascii="Arial" w:hAnsi="Arial" w:cs="Arial"/>
                <w:bCs/>
                <w:color w:val="000000"/>
              </w:rPr>
              <w:t xml:space="preserve"> </w:t>
            </w:r>
            <w:r w:rsidR="00651EE7">
              <w:rPr>
                <w:rFonts w:ascii="Arial" w:hAnsi="Arial" w:cs="Arial"/>
                <w:bCs/>
                <w:color w:val="000000"/>
              </w:rPr>
              <w:t>o</w:t>
            </w:r>
            <w:r w:rsidRPr="003A3084">
              <w:rPr>
                <w:rFonts w:ascii="Arial" w:hAnsi="Arial" w:cs="Arial"/>
                <w:bCs/>
                <w:color w:val="000000"/>
              </w:rPr>
              <w:t xml:space="preserve">fficers with individual decision-making authority.  Delegated decision-making arrangements are set out specifically in the ICB’s </w:t>
            </w:r>
            <w:hyperlink r:id="rId11" w:history="1">
              <w:r w:rsidRPr="00651EE7">
                <w:rPr>
                  <w:rStyle w:val="Hyperlink"/>
                  <w:rFonts w:ascii="Arial" w:hAnsi="Arial" w:cs="Arial"/>
                  <w:bCs/>
                </w:rPr>
                <w:t>Scheme of Reservation and Delegation (SoRD)</w:t>
              </w:r>
            </w:hyperlink>
            <w:r w:rsidRPr="003A3084">
              <w:rPr>
                <w:rFonts w:ascii="Arial" w:hAnsi="Arial" w:cs="Arial"/>
                <w:bCs/>
                <w:color w:val="000000"/>
              </w:rPr>
              <w:t>.</w:t>
            </w:r>
          </w:p>
        </w:tc>
      </w:tr>
      <w:tr w:rsidR="00032DAE" w14:paraId="17936556" w14:textId="77777777" w:rsidTr="00032DAE">
        <w:trPr>
          <w:cnfStyle w:val="000000100000" w:firstRow="0" w:lastRow="0" w:firstColumn="0" w:lastColumn="0" w:oddVBand="0" w:evenVBand="0" w:oddHBand="1" w:evenHBand="0" w:firstRowFirstColumn="0" w:firstRowLastColumn="0" w:lastRowFirstColumn="0" w:lastRowLastColumn="0"/>
          <w:trHeight w:val="696"/>
          <w:jc w:val="center"/>
        </w:trPr>
        <w:tc>
          <w:tcPr>
            <w:cnfStyle w:val="001000000000" w:firstRow="0" w:lastRow="0" w:firstColumn="1" w:lastColumn="0" w:oddVBand="0" w:evenVBand="0" w:oddHBand="0" w:evenHBand="0" w:firstRowFirstColumn="0" w:firstRowLastColumn="0" w:lastRowFirstColumn="0" w:lastRowLastColumn="0"/>
            <w:tcW w:w="1980" w:type="dxa"/>
          </w:tcPr>
          <w:p w14:paraId="54AFD170" w14:textId="397BC81A" w:rsidR="00032DAE" w:rsidRPr="00ED5FAD" w:rsidRDefault="00032DAE" w:rsidP="00E746BA">
            <w:pPr>
              <w:spacing w:before="40" w:after="40"/>
              <w:rPr>
                <w:rFonts w:ascii="Arial" w:hAnsi="Arial" w:cs="Arial"/>
              </w:rPr>
            </w:pPr>
            <w:r>
              <w:rPr>
                <w:rFonts w:ascii="Arial" w:hAnsi="Arial" w:cs="Arial"/>
              </w:rPr>
              <w:t xml:space="preserve">Working with the </w:t>
            </w:r>
            <w:r w:rsidRPr="00032DAE">
              <w:rPr>
                <w:rFonts w:ascii="Arial" w:hAnsi="Arial" w:cs="Arial"/>
              </w:rPr>
              <w:t>Pharmaceutical Industry</w:t>
            </w:r>
          </w:p>
        </w:tc>
        <w:tc>
          <w:tcPr>
            <w:tcW w:w="8952" w:type="dxa"/>
          </w:tcPr>
          <w:p w14:paraId="45C46490" w14:textId="77777777" w:rsidR="00032DAE" w:rsidRPr="00032DAE" w:rsidRDefault="00032DAE" w:rsidP="00032DAE">
            <w:pPr>
              <w:tabs>
                <w:tab w:val="left" w:pos="2694"/>
              </w:tabs>
              <w:spacing w:before="40" w:after="4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sidRPr="00032DAE">
              <w:rPr>
                <w:rFonts w:ascii="Arial" w:hAnsi="Arial" w:cs="Arial"/>
                <w:bCs/>
                <w:color w:val="000000"/>
              </w:rPr>
              <w:t>It is recognised that cross-sector working can accelerate improvements in patient care, with pharmaceutical companies able to bring expertise, skills and resources to complement the expertise of healthcare organisations.</w:t>
            </w:r>
          </w:p>
          <w:p w14:paraId="7A5AC533" w14:textId="0929D58F" w:rsidR="00032DAE" w:rsidRPr="00032DAE" w:rsidRDefault="00032DAE" w:rsidP="00032DAE">
            <w:pPr>
              <w:tabs>
                <w:tab w:val="left" w:pos="2694"/>
              </w:tabs>
              <w:spacing w:before="40" w:after="4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sidRPr="00032DAE">
              <w:rPr>
                <w:rFonts w:ascii="Arial" w:hAnsi="Arial" w:cs="Arial"/>
                <w:bCs/>
                <w:color w:val="000000"/>
              </w:rPr>
              <w:t>Whilst the ICB</w:t>
            </w:r>
            <w:r w:rsidR="00B960AD">
              <w:rPr>
                <w:rFonts w:ascii="Arial" w:hAnsi="Arial" w:cs="Arial"/>
                <w:bCs/>
                <w:color w:val="000000"/>
              </w:rPr>
              <w:t>’s</w:t>
            </w:r>
            <w:r w:rsidRPr="00032DAE">
              <w:rPr>
                <w:rFonts w:ascii="Arial" w:hAnsi="Arial" w:cs="Arial"/>
                <w:bCs/>
                <w:color w:val="000000"/>
              </w:rPr>
              <w:t xml:space="preserve"> </w:t>
            </w:r>
            <w:r w:rsidR="00B960AD">
              <w:rPr>
                <w:rFonts w:ascii="Arial" w:hAnsi="Arial" w:cs="Arial"/>
                <w:bCs/>
                <w:color w:val="000000"/>
              </w:rPr>
              <w:t>are</w:t>
            </w:r>
            <w:r w:rsidRPr="00032DAE">
              <w:rPr>
                <w:rFonts w:ascii="Arial" w:hAnsi="Arial" w:cs="Arial"/>
                <w:bCs/>
                <w:color w:val="000000"/>
              </w:rPr>
              <w:t xml:space="preserve"> generally supportive of working with the pharmaceutical industry, it has a duty to ensure that any involvement is transparent, ethical and is agreed within a clear and logical framework. Any conflicts of interest </w:t>
            </w:r>
            <w:r>
              <w:rPr>
                <w:rFonts w:ascii="Arial" w:hAnsi="Arial" w:cs="Arial"/>
                <w:bCs/>
                <w:color w:val="000000"/>
              </w:rPr>
              <w:t xml:space="preserve">should be </w:t>
            </w:r>
            <w:r w:rsidRPr="00032DAE">
              <w:rPr>
                <w:rFonts w:ascii="Arial" w:hAnsi="Arial" w:cs="Arial"/>
                <w:bCs/>
                <w:color w:val="000000"/>
              </w:rPr>
              <w:t xml:space="preserve">identified at the project outset, and management actions agreed in line with the requirements of this policy. </w:t>
            </w:r>
          </w:p>
          <w:p w14:paraId="78029ECF" w14:textId="528D2BC0" w:rsidR="00032DAE" w:rsidRPr="00ED5FAD" w:rsidRDefault="00032DAE" w:rsidP="00032DAE">
            <w:pPr>
              <w:tabs>
                <w:tab w:val="left" w:pos="2694"/>
              </w:tabs>
              <w:spacing w:before="40" w:after="4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sidRPr="00032DAE">
              <w:rPr>
                <w:rFonts w:ascii="Arial" w:hAnsi="Arial" w:cs="Arial"/>
                <w:bCs/>
                <w:color w:val="000000"/>
              </w:rPr>
              <w:t>The ICB’s Confidentiality and Data Protection Policy must be followed at all times during any joint working or collaborative working projects.</w:t>
            </w:r>
          </w:p>
        </w:tc>
      </w:tr>
      <w:tr w:rsidR="003A3084" w14:paraId="09A1EA2D" w14:textId="77777777" w:rsidTr="00032DAE">
        <w:trPr>
          <w:trHeight w:val="696"/>
          <w:jc w:val="center"/>
        </w:trPr>
        <w:tc>
          <w:tcPr>
            <w:cnfStyle w:val="001000000000" w:firstRow="0" w:lastRow="0" w:firstColumn="1" w:lastColumn="0" w:oddVBand="0" w:evenVBand="0" w:oddHBand="0" w:evenHBand="0" w:firstRowFirstColumn="0" w:firstRowLastColumn="0" w:lastRowFirstColumn="0" w:lastRowLastColumn="0"/>
            <w:tcW w:w="1980" w:type="dxa"/>
          </w:tcPr>
          <w:p w14:paraId="5DCA694F" w14:textId="16B8AF19" w:rsidR="003A3084" w:rsidRDefault="003A3084" w:rsidP="00E746BA">
            <w:pPr>
              <w:spacing w:before="40" w:after="40"/>
              <w:rPr>
                <w:rFonts w:ascii="Arial" w:hAnsi="Arial" w:cs="Arial"/>
              </w:rPr>
            </w:pPr>
            <w:r>
              <w:rPr>
                <w:rFonts w:ascii="Arial" w:hAnsi="Arial" w:cs="Arial"/>
              </w:rPr>
              <w:t>Provider Selection Regime (PSR)</w:t>
            </w:r>
          </w:p>
        </w:tc>
        <w:tc>
          <w:tcPr>
            <w:tcW w:w="8952" w:type="dxa"/>
          </w:tcPr>
          <w:p w14:paraId="162DF87F" w14:textId="77777777" w:rsidR="003A3084" w:rsidRPr="003A3084" w:rsidRDefault="003A3084" w:rsidP="003A3084">
            <w:pPr>
              <w:tabs>
                <w:tab w:val="left" w:pos="2694"/>
              </w:tabs>
              <w:spacing w:before="40" w:after="4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sidRPr="003A3084">
              <w:rPr>
                <w:rFonts w:ascii="Arial" w:hAnsi="Arial" w:cs="Arial"/>
                <w:bCs/>
                <w:color w:val="000000"/>
              </w:rPr>
              <w:t>The appropriate management of conflicts of interest extends to any situation where an individual has, directly or indirectly, an interest which might be perceived to compromise their impartiality and independence in the context of a procurement process.</w:t>
            </w:r>
          </w:p>
          <w:p w14:paraId="7CA2E6A4" w14:textId="77777777" w:rsidR="003A3084" w:rsidRPr="003A3084" w:rsidRDefault="003A3084" w:rsidP="003A3084">
            <w:pPr>
              <w:tabs>
                <w:tab w:val="left" w:pos="2694"/>
              </w:tabs>
              <w:spacing w:before="40" w:after="4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sidRPr="003A3084">
              <w:rPr>
                <w:rFonts w:ascii="Arial" w:hAnsi="Arial" w:cs="Arial"/>
                <w:bCs/>
                <w:color w:val="000000"/>
              </w:rPr>
              <w:t xml:space="preserve">At the outset of any process, the relevant interests of individuals involved should be identified and clear arrangements put in place to manage any conflicts. This includes consideration as to which stages of the process a conflicted individual should not participate in, and in some circumstances, whether the individual should be involved in the process at all.  </w:t>
            </w:r>
          </w:p>
          <w:p w14:paraId="10771EDD" w14:textId="77777777" w:rsidR="003A3084" w:rsidRPr="003A3084" w:rsidRDefault="003A3084" w:rsidP="003A3084">
            <w:pPr>
              <w:tabs>
                <w:tab w:val="left" w:pos="2694"/>
              </w:tabs>
              <w:spacing w:before="40" w:after="4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sidRPr="003A3084">
              <w:rPr>
                <w:rFonts w:ascii="Arial" w:hAnsi="Arial" w:cs="Arial"/>
                <w:bCs/>
                <w:color w:val="000000"/>
              </w:rPr>
              <w:t xml:space="preserve">Decision-making processes with regard to procurement and the PSR are subject to the principles described in section 8 and the arrangements detailed in sections 11 ‘Management of Declared Interests’ and 12 ‘Managing Conflicts of Interest at Meetings’.  </w:t>
            </w:r>
          </w:p>
          <w:p w14:paraId="3936E2A7" w14:textId="4AFC1EE5" w:rsidR="003A3084" w:rsidRPr="00032DAE" w:rsidRDefault="003A3084" w:rsidP="003A3084">
            <w:pPr>
              <w:tabs>
                <w:tab w:val="left" w:pos="2694"/>
              </w:tabs>
              <w:spacing w:before="40" w:after="4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sidRPr="003A3084">
              <w:rPr>
                <w:rFonts w:ascii="Arial" w:hAnsi="Arial" w:cs="Arial"/>
                <w:bCs/>
                <w:color w:val="000000"/>
              </w:rPr>
              <w:t>The ICB’s Procurement Policy describes the ICB’s arrangements for procurement and applying the PSR.  This includes where there is a requirement to publish any declared or potential conflicts of interest of individuals, groups or committees making the decision and how these were managed.</w:t>
            </w:r>
          </w:p>
        </w:tc>
      </w:tr>
      <w:tr w:rsidR="00F25458" w14:paraId="7A15B078" w14:textId="77777777" w:rsidTr="00032DAE">
        <w:trPr>
          <w:cnfStyle w:val="000000100000" w:firstRow="0" w:lastRow="0" w:firstColumn="0" w:lastColumn="0" w:oddVBand="0" w:evenVBand="0" w:oddHBand="1" w:evenHBand="0" w:firstRowFirstColumn="0" w:firstRowLastColumn="0" w:lastRowFirstColumn="0" w:lastRowLastColumn="0"/>
          <w:trHeight w:val="899"/>
          <w:jc w:val="center"/>
        </w:trPr>
        <w:tc>
          <w:tcPr>
            <w:cnfStyle w:val="001000000000" w:firstRow="0" w:lastRow="0" w:firstColumn="1" w:lastColumn="0" w:oddVBand="0" w:evenVBand="0" w:oddHBand="0" w:evenHBand="0" w:firstRowFirstColumn="0" w:firstRowLastColumn="0" w:lastRowFirstColumn="0" w:lastRowLastColumn="0"/>
            <w:tcW w:w="1980" w:type="dxa"/>
          </w:tcPr>
          <w:p w14:paraId="04FA524F" w14:textId="3B8A1DEA" w:rsidR="00F25458" w:rsidRPr="00ED5FAD" w:rsidRDefault="00F25458" w:rsidP="00E746BA">
            <w:pPr>
              <w:spacing w:before="40" w:after="40" w:line="276" w:lineRule="auto"/>
              <w:rPr>
                <w:rFonts w:ascii="Arial" w:hAnsi="Arial" w:cs="Arial"/>
              </w:rPr>
            </w:pPr>
            <w:r w:rsidRPr="00ED5FAD">
              <w:rPr>
                <w:rFonts w:ascii="Arial" w:hAnsi="Arial" w:cs="Arial"/>
              </w:rPr>
              <w:lastRenderedPageBreak/>
              <w:t xml:space="preserve">Advice and </w:t>
            </w:r>
            <w:r w:rsidR="00032DAE">
              <w:rPr>
                <w:rFonts w:ascii="Arial" w:hAnsi="Arial" w:cs="Arial"/>
              </w:rPr>
              <w:t>s</w:t>
            </w:r>
            <w:r w:rsidRPr="00ED5FAD">
              <w:rPr>
                <w:rFonts w:ascii="Arial" w:hAnsi="Arial" w:cs="Arial"/>
              </w:rPr>
              <w:t xml:space="preserve">upport  </w:t>
            </w:r>
          </w:p>
        </w:tc>
        <w:tc>
          <w:tcPr>
            <w:tcW w:w="8952" w:type="dxa"/>
          </w:tcPr>
          <w:p w14:paraId="123443B2" w14:textId="65E9F0AB" w:rsidR="00F25458" w:rsidRPr="00B960AD" w:rsidRDefault="0027439B" w:rsidP="00E746BA">
            <w:pPr>
              <w:spacing w:before="40" w:after="40" w:line="276" w:lineRule="auto"/>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D27F6A">
              <w:rPr>
                <w:rFonts w:ascii="Arial" w:hAnsi="Arial" w:cs="Arial"/>
              </w:rPr>
              <w:t xml:space="preserve">Advice on declaring and managing interests can be sought from </w:t>
            </w:r>
            <w:r w:rsidR="00327A32">
              <w:rPr>
                <w:rFonts w:ascii="Arial" w:hAnsi="Arial" w:cs="Arial"/>
              </w:rPr>
              <w:t xml:space="preserve">the </w:t>
            </w:r>
            <w:r w:rsidR="00D27F6A" w:rsidRPr="00327A32">
              <w:rPr>
                <w:rFonts w:ascii="Arial" w:hAnsi="Arial" w:cs="Arial"/>
              </w:rPr>
              <w:t xml:space="preserve">Governance Team: </w:t>
            </w:r>
            <w:hyperlink r:id="rId12" w:history="1">
              <w:r w:rsidR="00D27F6A" w:rsidRPr="004C5AA2">
                <w:rPr>
                  <w:rStyle w:val="Hyperlink"/>
                </w:rPr>
                <w:t>nnicb-nn.dln.committees@nhs.net</w:t>
              </w:r>
            </w:hyperlink>
            <w:r w:rsidR="00D27F6A">
              <w:t xml:space="preserve"> </w:t>
            </w:r>
          </w:p>
        </w:tc>
      </w:tr>
    </w:tbl>
    <w:p w14:paraId="687309FE" w14:textId="77777777" w:rsidR="0027439B" w:rsidRDefault="0027439B">
      <w:pPr>
        <w:rPr>
          <w:rFonts w:eastAsia="Calibri" w:cs="Arial"/>
          <w:b/>
          <w:sz w:val="24"/>
          <w:szCs w:val="24"/>
          <w:u w:val="single"/>
        </w:rPr>
      </w:pPr>
      <w:r>
        <w:rPr>
          <w:rFonts w:eastAsia="Calibri" w:cs="Arial"/>
          <w:b/>
          <w:sz w:val="24"/>
          <w:szCs w:val="24"/>
          <w:u w:val="single"/>
        </w:rPr>
        <w:br w:type="page"/>
      </w:r>
    </w:p>
    <w:p w14:paraId="2B48E64D" w14:textId="235E0948" w:rsidR="00E746BA" w:rsidRPr="00ED5FAD" w:rsidRDefault="00E746BA" w:rsidP="00E746BA">
      <w:pPr>
        <w:rPr>
          <w:rFonts w:ascii="Arial" w:eastAsia="Calibri" w:hAnsi="Arial" w:cs="Arial"/>
          <w:b/>
          <w:sz w:val="24"/>
          <w:szCs w:val="24"/>
        </w:rPr>
      </w:pPr>
      <w:r w:rsidRPr="00ED5FAD">
        <w:rPr>
          <w:rFonts w:ascii="Arial" w:eastAsia="Calibri" w:hAnsi="Arial" w:cs="Arial"/>
          <w:b/>
          <w:sz w:val="24"/>
          <w:szCs w:val="24"/>
        </w:rPr>
        <w:lastRenderedPageBreak/>
        <w:t>Appendix A</w:t>
      </w:r>
      <w:r w:rsidR="00ED5FAD" w:rsidRPr="00ED5FAD">
        <w:rPr>
          <w:rFonts w:ascii="Arial" w:eastAsia="Calibri" w:hAnsi="Arial" w:cs="Arial"/>
          <w:b/>
          <w:sz w:val="24"/>
          <w:szCs w:val="24"/>
        </w:rPr>
        <w:t>: C</w:t>
      </w:r>
      <w:r w:rsidR="00ED5FAD" w:rsidRPr="00ED5FAD">
        <w:rPr>
          <w:rFonts w:ascii="Arial" w:hAnsi="Arial" w:cs="Arial"/>
          <w:b/>
          <w:sz w:val="24"/>
          <w:szCs w:val="24"/>
        </w:rPr>
        <w:t>ategories and Examples of Types of Interest</w:t>
      </w:r>
    </w:p>
    <w:p w14:paraId="26B7EF1E" w14:textId="77777777" w:rsidR="00E746BA" w:rsidRPr="00AC1826" w:rsidRDefault="00E746BA" w:rsidP="00E746BA">
      <w:pPr>
        <w:jc w:val="center"/>
        <w:rPr>
          <w:rFonts w:cs="Arial"/>
          <w:noProof/>
          <w:sz w:val="24"/>
          <w:szCs w:val="24"/>
        </w:rPr>
      </w:pPr>
    </w:p>
    <w:tbl>
      <w:tblPr>
        <w:tblStyle w:val="TableGrid"/>
        <w:tblW w:w="0" w:type="auto"/>
        <w:tblLook w:val="04A0" w:firstRow="1" w:lastRow="0" w:firstColumn="1" w:lastColumn="0" w:noHBand="0" w:noVBand="1"/>
      </w:tblPr>
      <w:tblGrid>
        <w:gridCol w:w="1772"/>
        <w:gridCol w:w="7268"/>
      </w:tblGrid>
      <w:tr w:rsidR="00E746BA" w:rsidRPr="00ED5FAD" w14:paraId="64642D70" w14:textId="77777777" w:rsidTr="00475FBE">
        <w:trPr>
          <w:tblHeader/>
        </w:trPr>
        <w:tc>
          <w:tcPr>
            <w:tcW w:w="2093" w:type="dxa"/>
            <w:shd w:val="clear" w:color="auto" w:fill="005EB8"/>
          </w:tcPr>
          <w:p w14:paraId="795D0EE3" w14:textId="77777777" w:rsidR="00E746BA" w:rsidRPr="00ED5FAD" w:rsidRDefault="00E746BA" w:rsidP="00475FBE">
            <w:pPr>
              <w:spacing w:before="40" w:after="40"/>
              <w:rPr>
                <w:rFonts w:ascii="Arial" w:eastAsia="Calibri" w:hAnsi="Arial" w:cs="Arial"/>
                <w:b/>
                <w:color w:val="FFFFFF" w:themeColor="background1"/>
              </w:rPr>
            </w:pPr>
            <w:r w:rsidRPr="00ED5FAD">
              <w:rPr>
                <w:rFonts w:ascii="Arial" w:eastAsia="Calibri" w:hAnsi="Arial" w:cs="Arial"/>
                <w:b/>
                <w:color w:val="FFFFFF" w:themeColor="background1"/>
              </w:rPr>
              <w:t>Type of Interest</w:t>
            </w:r>
          </w:p>
        </w:tc>
        <w:tc>
          <w:tcPr>
            <w:tcW w:w="11794" w:type="dxa"/>
            <w:shd w:val="clear" w:color="auto" w:fill="005EB8"/>
          </w:tcPr>
          <w:p w14:paraId="02111520" w14:textId="77777777" w:rsidR="00E746BA" w:rsidRPr="00ED5FAD" w:rsidRDefault="00E746BA" w:rsidP="00475FBE">
            <w:pPr>
              <w:spacing w:before="40" w:after="40"/>
              <w:rPr>
                <w:rFonts w:ascii="Arial" w:eastAsia="Calibri" w:hAnsi="Arial" w:cs="Arial"/>
                <w:b/>
                <w:color w:val="FFFFFF" w:themeColor="background1"/>
              </w:rPr>
            </w:pPr>
            <w:r w:rsidRPr="00ED5FAD">
              <w:rPr>
                <w:rFonts w:ascii="Arial" w:eastAsia="Calibri" w:hAnsi="Arial" w:cs="Arial"/>
                <w:b/>
                <w:color w:val="FFFFFF" w:themeColor="background1"/>
              </w:rPr>
              <w:t>Description</w:t>
            </w:r>
          </w:p>
        </w:tc>
      </w:tr>
      <w:tr w:rsidR="00E746BA" w:rsidRPr="00ED5FAD" w14:paraId="3EF8ABD5" w14:textId="77777777" w:rsidTr="00475FBE">
        <w:tc>
          <w:tcPr>
            <w:tcW w:w="2093" w:type="dxa"/>
          </w:tcPr>
          <w:p w14:paraId="72300019" w14:textId="77777777" w:rsidR="00E746BA" w:rsidRPr="00ED5FAD" w:rsidRDefault="00E746BA" w:rsidP="00ED5FAD">
            <w:pPr>
              <w:spacing w:before="40" w:after="40" w:line="276" w:lineRule="auto"/>
              <w:rPr>
                <w:rFonts w:ascii="Arial" w:eastAsia="Calibri" w:hAnsi="Arial" w:cs="Arial"/>
                <w:bCs/>
              </w:rPr>
            </w:pPr>
            <w:r w:rsidRPr="00ED5FAD">
              <w:rPr>
                <w:rFonts w:ascii="Arial" w:eastAsia="Calibri" w:hAnsi="Arial" w:cs="Arial"/>
                <w:bCs/>
              </w:rPr>
              <w:t>Financial</w:t>
            </w:r>
          </w:p>
        </w:tc>
        <w:tc>
          <w:tcPr>
            <w:tcW w:w="11794" w:type="dxa"/>
          </w:tcPr>
          <w:p w14:paraId="3680AAD4" w14:textId="77777777" w:rsidR="00E746BA" w:rsidRPr="00ED5FAD" w:rsidRDefault="00E746BA" w:rsidP="00ED5FAD">
            <w:pPr>
              <w:spacing w:before="40" w:after="40" w:line="276" w:lineRule="auto"/>
              <w:rPr>
                <w:rFonts w:ascii="Arial" w:hAnsi="Arial" w:cs="Arial"/>
              </w:rPr>
            </w:pPr>
            <w:r w:rsidRPr="00ED5FAD">
              <w:rPr>
                <w:rFonts w:ascii="Arial" w:hAnsi="Arial" w:cs="Arial"/>
              </w:rPr>
              <w:t xml:space="preserve">Where an individual may get direct financial benefits* from the consequences of a decision their organisation makes. This could include: </w:t>
            </w:r>
          </w:p>
          <w:p w14:paraId="012668A7" w14:textId="77777777" w:rsidR="00E746BA" w:rsidRPr="00ED5FAD" w:rsidRDefault="00E746BA" w:rsidP="00ED5FAD">
            <w:pPr>
              <w:pStyle w:val="ListParagraph"/>
              <w:numPr>
                <w:ilvl w:val="0"/>
                <w:numId w:val="6"/>
              </w:numPr>
              <w:spacing w:before="40" w:after="40" w:line="276" w:lineRule="auto"/>
              <w:rPr>
                <w:rFonts w:ascii="Arial" w:hAnsi="Arial" w:cs="Arial"/>
              </w:rPr>
            </w:pPr>
            <w:r w:rsidRPr="00ED5FAD">
              <w:rPr>
                <w:rFonts w:ascii="Arial" w:hAnsi="Arial" w:cs="Arial"/>
              </w:rPr>
              <w:t xml:space="preserve">A director (including a non-executive director) or senior employee in another organisation which is doing, or is likely to do business with an organisation in receipt of NHS funding; </w:t>
            </w:r>
          </w:p>
          <w:p w14:paraId="398975C8" w14:textId="77777777" w:rsidR="00E746BA" w:rsidRPr="00ED5FAD" w:rsidRDefault="00E746BA" w:rsidP="00ED5FAD">
            <w:pPr>
              <w:pStyle w:val="ListParagraph"/>
              <w:numPr>
                <w:ilvl w:val="0"/>
                <w:numId w:val="6"/>
              </w:numPr>
              <w:spacing w:before="40" w:after="40" w:line="276" w:lineRule="auto"/>
              <w:rPr>
                <w:rFonts w:ascii="Arial" w:hAnsi="Arial" w:cs="Arial"/>
              </w:rPr>
            </w:pPr>
            <w:r w:rsidRPr="00ED5FAD">
              <w:rPr>
                <w:rFonts w:ascii="Arial" w:hAnsi="Arial" w:cs="Arial"/>
              </w:rPr>
              <w:t xml:space="preserve">A shareholder, partner or owner of an organisation which is doing, or is likely to do business with an organisation in receipt of NHS funding; </w:t>
            </w:r>
          </w:p>
          <w:p w14:paraId="69784C73" w14:textId="77777777" w:rsidR="00E746BA" w:rsidRPr="00ED5FAD" w:rsidRDefault="00E746BA" w:rsidP="00ED5FAD">
            <w:pPr>
              <w:pStyle w:val="ListParagraph"/>
              <w:numPr>
                <w:ilvl w:val="0"/>
                <w:numId w:val="6"/>
              </w:numPr>
              <w:spacing w:before="40" w:after="40" w:line="276" w:lineRule="auto"/>
              <w:rPr>
                <w:rFonts w:ascii="Arial" w:hAnsi="Arial" w:cs="Arial"/>
              </w:rPr>
            </w:pPr>
            <w:r w:rsidRPr="00ED5FAD">
              <w:rPr>
                <w:rFonts w:ascii="Arial" w:hAnsi="Arial" w:cs="Arial"/>
              </w:rPr>
              <w:t xml:space="preserve">Someone in outside employment; </w:t>
            </w:r>
          </w:p>
          <w:p w14:paraId="4719D86E" w14:textId="77777777" w:rsidR="00E746BA" w:rsidRPr="00ED5FAD" w:rsidRDefault="00E746BA" w:rsidP="00ED5FAD">
            <w:pPr>
              <w:pStyle w:val="ListParagraph"/>
              <w:numPr>
                <w:ilvl w:val="0"/>
                <w:numId w:val="6"/>
              </w:numPr>
              <w:spacing w:before="40" w:after="40" w:line="276" w:lineRule="auto"/>
              <w:rPr>
                <w:rFonts w:ascii="Arial" w:hAnsi="Arial" w:cs="Arial"/>
              </w:rPr>
            </w:pPr>
            <w:r w:rsidRPr="00ED5FAD">
              <w:rPr>
                <w:rFonts w:ascii="Arial" w:hAnsi="Arial" w:cs="Arial"/>
              </w:rPr>
              <w:t xml:space="preserve">Someone in receipt of secondary income; </w:t>
            </w:r>
          </w:p>
          <w:p w14:paraId="4590C914" w14:textId="77777777" w:rsidR="00E746BA" w:rsidRPr="00ED5FAD" w:rsidRDefault="00E746BA" w:rsidP="00ED5FAD">
            <w:pPr>
              <w:pStyle w:val="ListParagraph"/>
              <w:numPr>
                <w:ilvl w:val="0"/>
                <w:numId w:val="6"/>
              </w:numPr>
              <w:spacing w:before="40" w:after="40" w:line="276" w:lineRule="auto"/>
              <w:rPr>
                <w:rFonts w:ascii="Arial" w:hAnsi="Arial" w:cs="Arial"/>
              </w:rPr>
            </w:pPr>
            <w:r w:rsidRPr="00ED5FAD">
              <w:rPr>
                <w:rFonts w:ascii="Arial" w:hAnsi="Arial" w:cs="Arial"/>
              </w:rPr>
              <w:t>Someone in receipt of a grant;</w:t>
            </w:r>
          </w:p>
          <w:p w14:paraId="5E7EEB4A" w14:textId="77777777" w:rsidR="00E746BA" w:rsidRPr="00ED5FAD" w:rsidRDefault="00E746BA" w:rsidP="00ED5FAD">
            <w:pPr>
              <w:pStyle w:val="ListParagraph"/>
              <w:numPr>
                <w:ilvl w:val="0"/>
                <w:numId w:val="6"/>
              </w:numPr>
              <w:spacing w:before="40" w:after="40" w:line="276" w:lineRule="auto"/>
              <w:rPr>
                <w:rFonts w:ascii="Arial" w:hAnsi="Arial" w:cs="Arial"/>
              </w:rPr>
            </w:pPr>
            <w:r w:rsidRPr="00ED5FAD">
              <w:rPr>
                <w:rFonts w:ascii="Arial" w:hAnsi="Arial" w:cs="Arial"/>
              </w:rPr>
              <w:t>Someone in receipt of other payments (e.g. honoraria, day allowances, travel or subsistence);</w:t>
            </w:r>
          </w:p>
          <w:p w14:paraId="46156CB8" w14:textId="77777777" w:rsidR="00E746BA" w:rsidRPr="00ED5FAD" w:rsidRDefault="00E746BA" w:rsidP="00ED5FAD">
            <w:pPr>
              <w:pStyle w:val="ListParagraph"/>
              <w:numPr>
                <w:ilvl w:val="0"/>
                <w:numId w:val="6"/>
              </w:numPr>
              <w:spacing w:before="40" w:after="40" w:line="276" w:lineRule="auto"/>
              <w:rPr>
                <w:rFonts w:ascii="Arial" w:eastAsia="Calibri" w:hAnsi="Arial" w:cs="Arial"/>
                <w:b/>
                <w:u w:val="single"/>
              </w:rPr>
            </w:pPr>
            <w:r w:rsidRPr="00ED5FAD">
              <w:rPr>
                <w:rFonts w:ascii="Arial" w:hAnsi="Arial" w:cs="Arial"/>
              </w:rPr>
              <w:t>Someone in receipt of sponsored research.</w:t>
            </w:r>
          </w:p>
        </w:tc>
      </w:tr>
      <w:tr w:rsidR="00E746BA" w:rsidRPr="00ED5FAD" w14:paraId="2D8D0235" w14:textId="77777777" w:rsidTr="00475FBE">
        <w:tc>
          <w:tcPr>
            <w:tcW w:w="2093" w:type="dxa"/>
          </w:tcPr>
          <w:p w14:paraId="64E4CDD0" w14:textId="77777777" w:rsidR="00E746BA" w:rsidRPr="00ED5FAD" w:rsidRDefault="00E746BA" w:rsidP="00ED5FAD">
            <w:pPr>
              <w:spacing w:before="40" w:after="40" w:line="276" w:lineRule="auto"/>
              <w:rPr>
                <w:rFonts w:ascii="Arial" w:eastAsia="Calibri" w:hAnsi="Arial" w:cs="Arial"/>
                <w:b/>
                <w:u w:val="single"/>
              </w:rPr>
            </w:pPr>
            <w:r w:rsidRPr="00ED5FAD">
              <w:rPr>
                <w:rFonts w:ascii="Arial" w:hAnsi="Arial" w:cs="Arial"/>
              </w:rPr>
              <w:t>Non-financial professional interests</w:t>
            </w:r>
          </w:p>
        </w:tc>
        <w:tc>
          <w:tcPr>
            <w:tcW w:w="11794" w:type="dxa"/>
          </w:tcPr>
          <w:p w14:paraId="38B890AF" w14:textId="77777777" w:rsidR="00E746BA" w:rsidRPr="00ED5FAD" w:rsidRDefault="00E746BA" w:rsidP="00ED5FAD">
            <w:pPr>
              <w:spacing w:before="40" w:after="40" w:line="276" w:lineRule="auto"/>
              <w:rPr>
                <w:rFonts w:ascii="Arial" w:hAnsi="Arial" w:cs="Arial"/>
              </w:rPr>
            </w:pPr>
            <w:r w:rsidRPr="00ED5FAD">
              <w:rPr>
                <w:rFonts w:ascii="Arial" w:hAnsi="Arial" w:cs="Arial"/>
              </w:rPr>
              <w:t xml:space="preserve">Where an individual may obtain a non-financial professional benefit* from the consequences of a decision their organisation makes, such as increasing their professional reputation or status or promoting their professional career. This could include situations where the individual is: </w:t>
            </w:r>
          </w:p>
          <w:p w14:paraId="1B936789" w14:textId="77777777" w:rsidR="00E746BA" w:rsidRPr="00ED5FAD" w:rsidRDefault="00E746BA" w:rsidP="00ED5FAD">
            <w:pPr>
              <w:pStyle w:val="ListParagraph"/>
              <w:numPr>
                <w:ilvl w:val="0"/>
                <w:numId w:val="6"/>
              </w:numPr>
              <w:spacing w:before="40" w:after="40" w:line="276" w:lineRule="auto"/>
              <w:rPr>
                <w:rFonts w:ascii="Arial" w:hAnsi="Arial" w:cs="Arial"/>
              </w:rPr>
            </w:pPr>
            <w:r w:rsidRPr="00ED5FAD">
              <w:rPr>
                <w:rFonts w:ascii="Arial" w:hAnsi="Arial" w:cs="Arial"/>
              </w:rPr>
              <w:t xml:space="preserve">An advocate for a particular group of patients; </w:t>
            </w:r>
          </w:p>
          <w:p w14:paraId="00F7C412" w14:textId="77777777" w:rsidR="00E746BA" w:rsidRPr="00ED5FAD" w:rsidRDefault="00E746BA" w:rsidP="00ED5FAD">
            <w:pPr>
              <w:pStyle w:val="ListParagraph"/>
              <w:numPr>
                <w:ilvl w:val="0"/>
                <w:numId w:val="6"/>
              </w:numPr>
              <w:spacing w:before="40" w:after="40" w:line="276" w:lineRule="auto"/>
              <w:rPr>
                <w:rFonts w:ascii="Arial" w:hAnsi="Arial" w:cs="Arial"/>
              </w:rPr>
            </w:pPr>
            <w:r w:rsidRPr="00ED5FAD">
              <w:rPr>
                <w:rFonts w:ascii="Arial" w:hAnsi="Arial" w:cs="Arial"/>
              </w:rPr>
              <w:t>A clinician with a special interest;</w:t>
            </w:r>
          </w:p>
          <w:p w14:paraId="3C299D16" w14:textId="77777777" w:rsidR="00E746BA" w:rsidRPr="00ED5FAD" w:rsidRDefault="00E746BA" w:rsidP="00ED5FAD">
            <w:pPr>
              <w:pStyle w:val="ListParagraph"/>
              <w:numPr>
                <w:ilvl w:val="0"/>
                <w:numId w:val="6"/>
              </w:numPr>
              <w:spacing w:before="40" w:after="40" w:line="276" w:lineRule="auto"/>
              <w:rPr>
                <w:rFonts w:ascii="Arial" w:hAnsi="Arial" w:cs="Arial"/>
              </w:rPr>
            </w:pPr>
            <w:r w:rsidRPr="00ED5FAD">
              <w:rPr>
                <w:rFonts w:ascii="Arial" w:hAnsi="Arial" w:cs="Arial"/>
              </w:rPr>
              <w:t xml:space="preserve">An active member of a particular specialist body; </w:t>
            </w:r>
          </w:p>
          <w:p w14:paraId="237C37D3" w14:textId="77777777" w:rsidR="00E746BA" w:rsidRPr="00ED5FAD" w:rsidRDefault="00E746BA" w:rsidP="00ED5FAD">
            <w:pPr>
              <w:pStyle w:val="ListParagraph"/>
              <w:numPr>
                <w:ilvl w:val="0"/>
                <w:numId w:val="6"/>
              </w:numPr>
              <w:spacing w:before="40" w:after="40" w:line="276" w:lineRule="auto"/>
              <w:rPr>
                <w:rFonts w:ascii="Arial" w:hAnsi="Arial" w:cs="Arial"/>
              </w:rPr>
            </w:pPr>
            <w:r w:rsidRPr="00ED5FAD">
              <w:rPr>
                <w:rFonts w:ascii="Arial" w:hAnsi="Arial" w:cs="Arial"/>
              </w:rPr>
              <w:t>An advisor for the Care Quality Commission or National Institute of Health and Care Excellence;</w:t>
            </w:r>
          </w:p>
          <w:p w14:paraId="6F766EFE" w14:textId="77777777" w:rsidR="00E746BA" w:rsidRPr="00ED5FAD" w:rsidRDefault="00E746BA" w:rsidP="00ED5FAD">
            <w:pPr>
              <w:pStyle w:val="ListParagraph"/>
              <w:numPr>
                <w:ilvl w:val="0"/>
                <w:numId w:val="6"/>
              </w:numPr>
              <w:spacing w:before="40" w:after="40" w:line="276" w:lineRule="auto"/>
              <w:rPr>
                <w:rFonts w:ascii="Arial" w:eastAsia="Calibri" w:hAnsi="Arial" w:cs="Arial"/>
                <w:b/>
                <w:u w:val="single"/>
              </w:rPr>
            </w:pPr>
            <w:r w:rsidRPr="00ED5FAD">
              <w:rPr>
                <w:rFonts w:ascii="Arial" w:hAnsi="Arial" w:cs="Arial"/>
              </w:rPr>
              <w:t>A research role.</w:t>
            </w:r>
          </w:p>
        </w:tc>
      </w:tr>
      <w:tr w:rsidR="00E746BA" w:rsidRPr="00ED5FAD" w14:paraId="69155505" w14:textId="77777777" w:rsidTr="00475FBE">
        <w:tc>
          <w:tcPr>
            <w:tcW w:w="2093" w:type="dxa"/>
          </w:tcPr>
          <w:p w14:paraId="159A6F84" w14:textId="77777777" w:rsidR="00E746BA" w:rsidRPr="00ED5FAD" w:rsidRDefault="00E746BA" w:rsidP="00ED5FAD">
            <w:pPr>
              <w:spacing w:before="40" w:after="40" w:line="276" w:lineRule="auto"/>
              <w:rPr>
                <w:rFonts w:ascii="Arial" w:eastAsia="Calibri" w:hAnsi="Arial" w:cs="Arial"/>
                <w:b/>
                <w:u w:val="single"/>
              </w:rPr>
            </w:pPr>
            <w:r w:rsidRPr="00ED5FAD">
              <w:rPr>
                <w:rFonts w:ascii="Arial" w:hAnsi="Arial" w:cs="Arial"/>
              </w:rPr>
              <w:t>Non-financial personal interests</w:t>
            </w:r>
          </w:p>
        </w:tc>
        <w:tc>
          <w:tcPr>
            <w:tcW w:w="11794" w:type="dxa"/>
          </w:tcPr>
          <w:p w14:paraId="60B4E0A3" w14:textId="77777777" w:rsidR="00E746BA" w:rsidRPr="00ED5FAD" w:rsidRDefault="00E746BA" w:rsidP="00ED5FAD">
            <w:pPr>
              <w:spacing w:before="40" w:after="40" w:line="276" w:lineRule="auto"/>
              <w:rPr>
                <w:rFonts w:ascii="Arial" w:hAnsi="Arial" w:cs="Arial"/>
              </w:rPr>
            </w:pPr>
            <w:r w:rsidRPr="00ED5FAD">
              <w:rPr>
                <w:rFonts w:ascii="Arial" w:hAnsi="Arial" w:cs="Arial"/>
              </w:rPr>
              <w:t xml:space="preserve">This is where an individual may benefit* personally from a decision their organisation makes in ways which are not directly linked to their professional career and do not give rise to a direct financial benefit. This could include, for example, where the individual is: </w:t>
            </w:r>
          </w:p>
          <w:p w14:paraId="161AA436" w14:textId="77777777" w:rsidR="00E746BA" w:rsidRPr="00ED5FAD" w:rsidRDefault="00E746BA" w:rsidP="00ED5FAD">
            <w:pPr>
              <w:pStyle w:val="ListParagraph"/>
              <w:numPr>
                <w:ilvl w:val="0"/>
                <w:numId w:val="6"/>
              </w:numPr>
              <w:spacing w:before="40" w:after="40" w:line="276" w:lineRule="auto"/>
              <w:rPr>
                <w:rFonts w:ascii="Arial" w:hAnsi="Arial" w:cs="Arial"/>
              </w:rPr>
            </w:pPr>
            <w:r w:rsidRPr="00ED5FAD">
              <w:rPr>
                <w:rFonts w:ascii="Arial" w:hAnsi="Arial" w:cs="Arial"/>
              </w:rPr>
              <w:t xml:space="preserve">A member of a voluntary sector board or has a position of authority within a voluntary sector organisation; </w:t>
            </w:r>
          </w:p>
          <w:p w14:paraId="171A5AAD" w14:textId="77777777" w:rsidR="00E746BA" w:rsidRPr="00ED5FAD" w:rsidRDefault="00E746BA" w:rsidP="00ED5FAD">
            <w:pPr>
              <w:pStyle w:val="ListParagraph"/>
              <w:numPr>
                <w:ilvl w:val="0"/>
                <w:numId w:val="6"/>
              </w:numPr>
              <w:spacing w:before="40" w:after="40" w:line="276" w:lineRule="auto"/>
              <w:rPr>
                <w:rFonts w:ascii="Arial" w:eastAsia="Calibri" w:hAnsi="Arial" w:cs="Arial"/>
                <w:b/>
                <w:u w:val="single"/>
              </w:rPr>
            </w:pPr>
            <w:r w:rsidRPr="00ED5FAD">
              <w:rPr>
                <w:rFonts w:ascii="Arial" w:hAnsi="Arial" w:cs="Arial"/>
              </w:rPr>
              <w:t>A member of a lobbying or pressure group with an interest in health and care.</w:t>
            </w:r>
          </w:p>
        </w:tc>
      </w:tr>
      <w:tr w:rsidR="00E746BA" w:rsidRPr="00ED5FAD" w14:paraId="7D21D81C" w14:textId="77777777" w:rsidTr="00475FBE">
        <w:tc>
          <w:tcPr>
            <w:tcW w:w="2093" w:type="dxa"/>
          </w:tcPr>
          <w:p w14:paraId="726B872A" w14:textId="77777777" w:rsidR="00E746BA" w:rsidRPr="00ED5FAD" w:rsidRDefault="00E746BA" w:rsidP="00ED5FAD">
            <w:pPr>
              <w:spacing w:before="40" w:after="40" w:line="276" w:lineRule="auto"/>
              <w:rPr>
                <w:rFonts w:ascii="Arial" w:eastAsia="Calibri" w:hAnsi="Arial" w:cs="Arial"/>
                <w:b/>
                <w:u w:val="single"/>
              </w:rPr>
            </w:pPr>
            <w:r w:rsidRPr="00ED5FAD">
              <w:rPr>
                <w:rFonts w:ascii="Arial" w:hAnsi="Arial" w:cs="Arial"/>
              </w:rPr>
              <w:t>Indirect interests</w:t>
            </w:r>
          </w:p>
        </w:tc>
        <w:tc>
          <w:tcPr>
            <w:tcW w:w="11794" w:type="dxa"/>
          </w:tcPr>
          <w:p w14:paraId="222D5B1C" w14:textId="77777777" w:rsidR="00E746BA" w:rsidRPr="00ED5FAD" w:rsidRDefault="00E746BA" w:rsidP="00ED5FAD">
            <w:pPr>
              <w:spacing w:before="40" w:after="40" w:line="276" w:lineRule="auto"/>
              <w:rPr>
                <w:rFonts w:ascii="Arial" w:hAnsi="Arial" w:cs="Arial"/>
              </w:rPr>
            </w:pPr>
            <w:r w:rsidRPr="00ED5FAD">
              <w:rPr>
                <w:rFonts w:ascii="Arial" w:hAnsi="Arial" w:cs="Arial"/>
              </w:rPr>
              <w:t xml:space="preserve">This is where an individual has a close association with another individual who has a financial interest, a non-financial professional interest or a non-financial personal interest who would stand to benefit* from a decision they are involved in making. This would include**: </w:t>
            </w:r>
          </w:p>
          <w:p w14:paraId="410CF699" w14:textId="77777777" w:rsidR="00E746BA" w:rsidRPr="00ED5FAD" w:rsidRDefault="00E746BA" w:rsidP="00ED5FAD">
            <w:pPr>
              <w:pStyle w:val="ListParagraph"/>
              <w:numPr>
                <w:ilvl w:val="0"/>
                <w:numId w:val="6"/>
              </w:numPr>
              <w:spacing w:before="40" w:after="40" w:line="276" w:lineRule="auto"/>
              <w:rPr>
                <w:rFonts w:ascii="Arial" w:hAnsi="Arial" w:cs="Arial"/>
              </w:rPr>
            </w:pPr>
            <w:r w:rsidRPr="00ED5FAD">
              <w:rPr>
                <w:rFonts w:ascii="Arial" w:hAnsi="Arial" w:cs="Arial"/>
              </w:rPr>
              <w:t xml:space="preserve">Close family members and relatives; </w:t>
            </w:r>
          </w:p>
          <w:p w14:paraId="295D129E" w14:textId="77777777" w:rsidR="00E746BA" w:rsidRPr="00ED5FAD" w:rsidRDefault="00E746BA" w:rsidP="00ED5FAD">
            <w:pPr>
              <w:pStyle w:val="ListParagraph"/>
              <w:numPr>
                <w:ilvl w:val="0"/>
                <w:numId w:val="6"/>
              </w:numPr>
              <w:spacing w:before="40" w:after="40" w:line="276" w:lineRule="auto"/>
              <w:rPr>
                <w:rFonts w:ascii="Arial" w:hAnsi="Arial" w:cs="Arial"/>
              </w:rPr>
            </w:pPr>
            <w:r w:rsidRPr="00ED5FAD">
              <w:rPr>
                <w:rFonts w:ascii="Arial" w:hAnsi="Arial" w:cs="Arial"/>
              </w:rPr>
              <w:t>Close friends and associates;</w:t>
            </w:r>
          </w:p>
          <w:p w14:paraId="729FF25D" w14:textId="77777777" w:rsidR="00E746BA" w:rsidRPr="00ED5FAD" w:rsidRDefault="00E746BA" w:rsidP="00ED5FAD">
            <w:pPr>
              <w:pStyle w:val="ListParagraph"/>
              <w:numPr>
                <w:ilvl w:val="0"/>
                <w:numId w:val="6"/>
              </w:numPr>
              <w:spacing w:before="40" w:after="40" w:line="276" w:lineRule="auto"/>
              <w:rPr>
                <w:rFonts w:ascii="Arial" w:eastAsia="Calibri" w:hAnsi="Arial" w:cs="Arial"/>
                <w:b/>
                <w:u w:val="single"/>
              </w:rPr>
            </w:pPr>
            <w:r w:rsidRPr="00ED5FAD">
              <w:rPr>
                <w:rFonts w:ascii="Arial" w:hAnsi="Arial" w:cs="Arial"/>
              </w:rPr>
              <w:lastRenderedPageBreak/>
              <w:t>Business partners.</w:t>
            </w:r>
          </w:p>
        </w:tc>
      </w:tr>
      <w:tr w:rsidR="00E746BA" w:rsidRPr="00ED5FAD" w14:paraId="7D84025E" w14:textId="77777777" w:rsidTr="00475FBE">
        <w:tc>
          <w:tcPr>
            <w:tcW w:w="2093" w:type="dxa"/>
          </w:tcPr>
          <w:p w14:paraId="166CB3F8" w14:textId="77777777" w:rsidR="00E746BA" w:rsidRPr="00ED5FAD" w:rsidRDefault="00E746BA" w:rsidP="00ED5FAD">
            <w:pPr>
              <w:spacing w:before="40" w:after="40" w:line="276" w:lineRule="auto"/>
              <w:rPr>
                <w:rFonts w:ascii="Arial" w:eastAsia="Calibri" w:hAnsi="Arial" w:cs="Arial"/>
                <w:bCs/>
              </w:rPr>
            </w:pPr>
            <w:r w:rsidRPr="00ED5FAD">
              <w:rPr>
                <w:rFonts w:ascii="Arial" w:eastAsia="Calibri" w:hAnsi="Arial" w:cs="Arial"/>
                <w:bCs/>
              </w:rPr>
              <w:lastRenderedPageBreak/>
              <w:t>Loyalty interests</w:t>
            </w:r>
          </w:p>
        </w:tc>
        <w:tc>
          <w:tcPr>
            <w:tcW w:w="11794" w:type="dxa"/>
          </w:tcPr>
          <w:p w14:paraId="6340E611" w14:textId="77777777" w:rsidR="00E746BA" w:rsidRPr="00ED5FAD" w:rsidRDefault="00E746BA" w:rsidP="00ED5FAD">
            <w:pPr>
              <w:spacing w:before="40" w:after="40" w:line="276" w:lineRule="auto"/>
              <w:rPr>
                <w:rFonts w:ascii="Arial" w:eastAsia="Calibri" w:hAnsi="Arial" w:cs="Arial"/>
                <w:bCs/>
              </w:rPr>
            </w:pPr>
            <w:r w:rsidRPr="00ED5FAD">
              <w:rPr>
                <w:rFonts w:ascii="Arial" w:eastAsia="Calibri" w:hAnsi="Arial" w:cs="Arial"/>
                <w:bCs/>
              </w:rPr>
              <w:t>This is where decision making is influenced subjectively through association with colleagues or organisations out of loyalty to the relationship they have, rather than through an objective process. This would include:</w:t>
            </w:r>
          </w:p>
          <w:p w14:paraId="4BC70420" w14:textId="77777777" w:rsidR="00E746BA" w:rsidRPr="00ED5FAD" w:rsidRDefault="00E746BA" w:rsidP="00ED5FAD">
            <w:pPr>
              <w:pStyle w:val="ListParagraph"/>
              <w:numPr>
                <w:ilvl w:val="0"/>
                <w:numId w:val="6"/>
              </w:numPr>
              <w:spacing w:before="40" w:after="40" w:line="276" w:lineRule="auto"/>
              <w:rPr>
                <w:rFonts w:ascii="Arial" w:hAnsi="Arial" w:cs="Arial"/>
              </w:rPr>
            </w:pPr>
            <w:r w:rsidRPr="00ED5FAD">
              <w:rPr>
                <w:rFonts w:ascii="Arial" w:hAnsi="Arial" w:cs="Arial"/>
              </w:rPr>
              <w:t xml:space="preserve">Hold a position of authority in another NHS organisation or commercial, charity, voluntary, professional, statutory or other body which could be seen to influence decisions they take in their NHS role: </w:t>
            </w:r>
          </w:p>
          <w:p w14:paraId="2CF61352" w14:textId="77777777" w:rsidR="00E746BA" w:rsidRPr="00ED5FAD" w:rsidRDefault="00E746BA" w:rsidP="00ED5FAD">
            <w:pPr>
              <w:pStyle w:val="ListParagraph"/>
              <w:numPr>
                <w:ilvl w:val="0"/>
                <w:numId w:val="6"/>
              </w:numPr>
              <w:spacing w:before="40" w:after="40" w:line="276" w:lineRule="auto"/>
              <w:rPr>
                <w:rFonts w:ascii="Arial" w:hAnsi="Arial" w:cs="Arial"/>
              </w:rPr>
            </w:pPr>
            <w:r w:rsidRPr="00ED5FAD">
              <w:rPr>
                <w:rFonts w:ascii="Arial" w:hAnsi="Arial" w:cs="Arial"/>
              </w:rPr>
              <w:t xml:space="preserve">Sit on advisory groups or other paid or unpaid decision making forums that can influence how their organisation spends taxpayers’ money; </w:t>
            </w:r>
          </w:p>
          <w:p w14:paraId="77500681" w14:textId="77777777" w:rsidR="00E746BA" w:rsidRPr="00ED5FAD" w:rsidRDefault="00E746BA" w:rsidP="00ED5FAD">
            <w:pPr>
              <w:pStyle w:val="ListParagraph"/>
              <w:numPr>
                <w:ilvl w:val="0"/>
                <w:numId w:val="6"/>
              </w:numPr>
              <w:spacing w:before="40" w:after="40" w:line="276" w:lineRule="auto"/>
              <w:rPr>
                <w:rFonts w:ascii="Arial" w:hAnsi="Arial" w:cs="Arial"/>
              </w:rPr>
            </w:pPr>
            <w:r w:rsidRPr="00ED5FAD">
              <w:rPr>
                <w:rFonts w:ascii="Arial" w:hAnsi="Arial" w:cs="Arial"/>
              </w:rPr>
              <w:t>Are, or could be, involved in the recruitment or management of close family members and relatives, close friends and associates, and business partners;</w:t>
            </w:r>
          </w:p>
          <w:p w14:paraId="54167B46" w14:textId="77777777" w:rsidR="00E746BA" w:rsidRPr="00ED5FAD" w:rsidRDefault="00E746BA" w:rsidP="00ED5FAD">
            <w:pPr>
              <w:pStyle w:val="ListParagraph"/>
              <w:numPr>
                <w:ilvl w:val="0"/>
                <w:numId w:val="6"/>
              </w:numPr>
              <w:spacing w:before="40" w:after="40" w:line="276" w:lineRule="auto"/>
              <w:rPr>
                <w:rFonts w:ascii="Arial" w:eastAsia="Calibri" w:hAnsi="Arial" w:cs="Arial"/>
                <w:b/>
                <w:u w:val="single"/>
              </w:rPr>
            </w:pPr>
            <w:r w:rsidRPr="00ED5FAD">
              <w:rPr>
                <w:rFonts w:ascii="Arial" w:hAnsi="Arial" w:cs="Arial"/>
              </w:rPr>
              <w:t>Are aware that their organisation does business with an organisation with whom close family members and relatives, close friends and associates, and business partners have decision making responsibilities.</w:t>
            </w:r>
          </w:p>
        </w:tc>
      </w:tr>
    </w:tbl>
    <w:p w14:paraId="576AFD73" w14:textId="77777777" w:rsidR="00ED5FAD" w:rsidRDefault="00ED5FAD" w:rsidP="00ED5FAD">
      <w:pPr>
        <w:rPr>
          <w:rFonts w:ascii="Arial" w:hAnsi="Arial" w:cs="Arial"/>
        </w:rPr>
      </w:pPr>
    </w:p>
    <w:p w14:paraId="4C5BDD76" w14:textId="5CA8EBCD" w:rsidR="00E746BA" w:rsidRPr="00ED5FAD" w:rsidRDefault="00E746BA" w:rsidP="00ED5FAD">
      <w:pPr>
        <w:rPr>
          <w:rFonts w:ascii="Arial" w:hAnsi="Arial" w:cs="Arial"/>
        </w:rPr>
      </w:pPr>
      <w:r w:rsidRPr="00ED5FAD">
        <w:rPr>
          <w:rFonts w:ascii="Arial" w:hAnsi="Arial" w:cs="Arial"/>
        </w:rPr>
        <w:t xml:space="preserve">* A benefit may arise from the making of gain or avoiding a loss </w:t>
      </w:r>
    </w:p>
    <w:p w14:paraId="7B4BE7E2" w14:textId="77777777" w:rsidR="00E746BA" w:rsidRPr="00ED5FAD" w:rsidRDefault="00E746BA" w:rsidP="00ED5FAD">
      <w:pPr>
        <w:rPr>
          <w:rFonts w:ascii="Arial" w:eastAsia="Calibri" w:hAnsi="Arial" w:cs="Arial"/>
          <w:b/>
          <w:u w:val="single"/>
        </w:rPr>
      </w:pPr>
      <w:r w:rsidRPr="00ED5FAD">
        <w:rPr>
          <w:rFonts w:ascii="Arial" w:hAnsi="Arial" w:cs="Arial"/>
        </w:rPr>
        <w:t>** A common sense approach should be applied to these terms. It would be unrealistic to expect staff to know of all the interests that people in these classes might hold. However, if staff do know of material interests (or could be reasonably expected to know about these) then these should be declared.</w:t>
      </w:r>
    </w:p>
    <w:p w14:paraId="5F5DA33E" w14:textId="77777777" w:rsidR="00E746BA" w:rsidRPr="00B06B00" w:rsidRDefault="00E746BA" w:rsidP="000C72C4">
      <w:pPr>
        <w:ind w:left="-709"/>
        <w:rPr>
          <w:rFonts w:ascii="Arial" w:hAnsi="Arial" w:cs="Arial"/>
          <w:b/>
          <w:bCs/>
          <w:sz w:val="24"/>
          <w:szCs w:val="24"/>
        </w:rPr>
      </w:pPr>
    </w:p>
    <w:sectPr w:rsidR="00E746BA" w:rsidRPr="00B06B00" w:rsidSect="00717D88">
      <w:headerReference w:type="default" r:id="rId13"/>
      <w:footerReference w:type="default" r:id="rId14"/>
      <w:pgSz w:w="11906" w:h="16838"/>
      <w:pgMar w:top="1701" w:right="1416" w:bottom="709" w:left="144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6656E" w14:textId="77777777" w:rsidR="000B6193" w:rsidRDefault="000B6193" w:rsidP="000B6193">
      <w:pPr>
        <w:spacing w:after="0" w:line="240" w:lineRule="auto"/>
      </w:pPr>
      <w:r>
        <w:separator/>
      </w:r>
    </w:p>
  </w:endnote>
  <w:endnote w:type="continuationSeparator" w:id="0">
    <w:p w14:paraId="555C7DE7" w14:textId="77777777" w:rsidR="000B6193" w:rsidRDefault="000B6193" w:rsidP="000B6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E4DE9" w14:textId="77777777" w:rsidR="00B06B00" w:rsidRPr="00B06B00" w:rsidRDefault="00B06B00" w:rsidP="00B06B00">
    <w:pPr>
      <w:ind w:left="-993"/>
      <w:rPr>
        <w:rFonts w:ascii="Arial" w:hAnsi="Arial" w:cs="Arial"/>
        <w:i/>
        <w:iCs/>
        <w:sz w:val="20"/>
        <w:szCs w:val="20"/>
      </w:rPr>
    </w:pPr>
  </w:p>
  <w:p w14:paraId="42E60931" w14:textId="77777777" w:rsidR="00B06B00" w:rsidRDefault="00B06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DEE83" w14:textId="77777777" w:rsidR="000B6193" w:rsidRDefault="000B6193" w:rsidP="000B6193">
      <w:pPr>
        <w:spacing w:after="0" w:line="240" w:lineRule="auto"/>
      </w:pPr>
      <w:r>
        <w:separator/>
      </w:r>
    </w:p>
  </w:footnote>
  <w:footnote w:type="continuationSeparator" w:id="0">
    <w:p w14:paraId="66596533" w14:textId="77777777" w:rsidR="000B6193" w:rsidRDefault="000B6193" w:rsidP="000B6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2"/>
      <w:gridCol w:w="3542"/>
      <w:gridCol w:w="3543"/>
    </w:tblGrid>
    <w:tr w:rsidR="00B960AD" w14:paraId="0DB2AE07" w14:textId="77777777" w:rsidTr="00BF583E">
      <w:trPr>
        <w:trHeight w:val="1276"/>
        <w:jc w:val="center"/>
      </w:trPr>
      <w:tc>
        <w:tcPr>
          <w:tcW w:w="3542" w:type="dxa"/>
        </w:tcPr>
        <w:p w14:paraId="27BA5490" w14:textId="77777777" w:rsidR="00B960AD" w:rsidRDefault="00B960AD" w:rsidP="00B960AD">
          <w:r>
            <w:rPr>
              <w:noProof/>
            </w:rPr>
            <w:drawing>
              <wp:anchor distT="0" distB="0" distL="114300" distR="114300" simplePos="0" relativeHeight="251659264" behindDoc="1" locked="0" layoutInCell="1" allowOverlap="1" wp14:anchorId="1ACB0B87" wp14:editId="7A85F806">
                <wp:simplePos x="0" y="0"/>
                <wp:positionH relativeFrom="margin">
                  <wp:posOffset>-65405</wp:posOffset>
                </wp:positionH>
                <wp:positionV relativeFrom="paragraph">
                  <wp:posOffset>12700</wp:posOffset>
                </wp:positionV>
                <wp:extent cx="1773279" cy="792000"/>
                <wp:effectExtent l="0" t="0" r="0" b="0"/>
                <wp:wrapTight wrapText="bothSides">
                  <wp:wrapPolygon edited="0">
                    <wp:start x="13461" y="0"/>
                    <wp:lineTo x="3249" y="8834"/>
                    <wp:lineTo x="232" y="8834"/>
                    <wp:lineTo x="464" y="16109"/>
                    <wp:lineTo x="9052" y="18188"/>
                    <wp:lineTo x="10676" y="18188"/>
                    <wp:lineTo x="21352" y="17148"/>
                    <wp:lineTo x="21352" y="0"/>
                    <wp:lineTo x="13461" y="0"/>
                  </wp:wrapPolygon>
                </wp:wrapTight>
                <wp:docPr id="1174601328" name="Picture 11746013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601328" name="Picture 1174601328">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5240" t="13722" r="7589"/>
                        <a:stretch/>
                      </pic:blipFill>
                      <pic:spPr bwMode="auto">
                        <a:xfrm>
                          <a:off x="0" y="0"/>
                          <a:ext cx="1773279" cy="79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542" w:type="dxa"/>
        </w:tcPr>
        <w:p w14:paraId="324AF11B" w14:textId="77777777" w:rsidR="00B960AD" w:rsidRDefault="00B960AD" w:rsidP="00B960AD">
          <w:pPr>
            <w:rPr>
              <w:noProof/>
            </w:rPr>
          </w:pPr>
          <w:r w:rsidRPr="003E6FA7">
            <w:rPr>
              <w:noProof/>
            </w:rPr>
            <w:drawing>
              <wp:anchor distT="0" distB="0" distL="114300" distR="114300" simplePos="0" relativeHeight="251661312" behindDoc="1" locked="0" layoutInCell="1" allowOverlap="1" wp14:anchorId="0088FED6" wp14:editId="22A50693">
                <wp:simplePos x="0" y="0"/>
                <wp:positionH relativeFrom="column">
                  <wp:posOffset>286385</wp:posOffset>
                </wp:positionH>
                <wp:positionV relativeFrom="paragraph">
                  <wp:posOffset>13970</wp:posOffset>
                </wp:positionV>
                <wp:extent cx="1546860" cy="806450"/>
                <wp:effectExtent l="0" t="0" r="0" b="0"/>
                <wp:wrapTight wrapText="bothSides">
                  <wp:wrapPolygon edited="0">
                    <wp:start x="0" y="0"/>
                    <wp:lineTo x="0" y="20920"/>
                    <wp:lineTo x="21281" y="20920"/>
                    <wp:lineTo x="21281" y="0"/>
                    <wp:lineTo x="0" y="0"/>
                  </wp:wrapPolygon>
                </wp:wrapTight>
                <wp:docPr id="697018367" name="Picture 7" descr="NHS Lincolnshire Integrated Care Board logo">
                  <a:extLst xmlns:a="http://schemas.openxmlformats.org/drawingml/2006/main">
                    <a:ext uri="{FF2B5EF4-FFF2-40B4-BE49-F238E27FC236}">
                      <a16:creationId xmlns:a16="http://schemas.microsoft.com/office/drawing/2014/main" id="{95D1D1B9-76F2-C0FD-4F81-62ADE7443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NHS Lincolnshire Integrated Care Board logo">
                          <a:extLst>
                            <a:ext uri="{FF2B5EF4-FFF2-40B4-BE49-F238E27FC236}">
                              <a16:creationId xmlns:a16="http://schemas.microsoft.com/office/drawing/2014/main" id="{95D1D1B9-76F2-C0FD-4F81-62ADE744352C}"/>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t="9609" b="-1"/>
                        <a:stretch>
                          <a:fillRect/>
                        </a:stretch>
                      </pic:blipFill>
                      <pic:spPr bwMode="auto">
                        <a:xfrm>
                          <a:off x="0" y="0"/>
                          <a:ext cx="1546860" cy="806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543" w:type="dxa"/>
        </w:tcPr>
        <w:p w14:paraId="001055A8" w14:textId="77777777" w:rsidR="00B960AD" w:rsidRDefault="00B960AD" w:rsidP="00B960AD">
          <w:pPr>
            <w:jc w:val="right"/>
          </w:pPr>
          <w:r>
            <w:rPr>
              <w:noProof/>
            </w:rPr>
            <w:drawing>
              <wp:anchor distT="0" distB="0" distL="114300" distR="114300" simplePos="0" relativeHeight="251660288" behindDoc="0" locked="0" layoutInCell="1" allowOverlap="1" wp14:anchorId="2FF9FD09" wp14:editId="246D1A20">
                <wp:simplePos x="0" y="0"/>
                <wp:positionH relativeFrom="margin">
                  <wp:align>right</wp:align>
                </wp:positionH>
                <wp:positionV relativeFrom="paragraph">
                  <wp:posOffset>17145</wp:posOffset>
                </wp:positionV>
                <wp:extent cx="1390650" cy="790575"/>
                <wp:effectExtent l="0" t="0" r="0" b="9525"/>
                <wp:wrapSquare wrapText="bothSides"/>
                <wp:docPr id="177080496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804967" name="Picture 2">
                          <a:extLst>
                            <a:ext uri="{C183D7F6-B498-43B3-948B-1728B52AA6E4}">
                              <adec:decorative xmlns:adec="http://schemas.microsoft.com/office/drawing/2017/decorative" val="1"/>
                            </a:ext>
                          </a:extLst>
                        </pic:cNvPr>
                        <pic:cNvPicPr>
                          <a:picLocks noChangeAspect="1" noChangeArrowheads="1"/>
                        </pic:cNvPicPr>
                      </pic:nvPicPr>
                      <pic:blipFill rotWithShape="1">
                        <a:blip r:embed="rId3">
                          <a:extLst>
                            <a:ext uri="{28A0092B-C50C-407E-A947-70E740481C1C}">
                              <a14:useLocalDpi xmlns:a14="http://schemas.microsoft.com/office/drawing/2010/main" val="0"/>
                            </a:ext>
                          </a:extLst>
                        </a:blip>
                        <a:srcRect l="37703" t="24931" r="3108" b="25802"/>
                        <a:stretch/>
                      </pic:blipFill>
                      <pic:spPr bwMode="auto">
                        <a:xfrm>
                          <a:off x="0" y="0"/>
                          <a:ext cx="1390650" cy="790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7795729D" w14:textId="492190BC" w:rsidR="000B6193" w:rsidRDefault="000B6193" w:rsidP="000B619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F2E62"/>
    <w:multiLevelType w:val="hybridMultilevel"/>
    <w:tmpl w:val="2A84716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 w15:restartNumberingAfterBreak="0">
    <w:nsid w:val="100119D2"/>
    <w:multiLevelType w:val="multilevel"/>
    <w:tmpl w:val="1AC66ED4"/>
    <w:lvl w:ilvl="0">
      <w:start w:val="1"/>
      <w:numFmt w:val="decimal"/>
      <w:pStyle w:val="Heading3"/>
      <w:lvlText w:val="%1."/>
      <w:lvlJc w:val="left"/>
      <w:pPr>
        <w:ind w:left="360" w:hanging="360"/>
      </w:pPr>
      <w:rPr>
        <w:rFonts w:hint="default"/>
      </w:rPr>
    </w:lvl>
    <w:lvl w:ilvl="1">
      <w:start w:val="1"/>
      <w:numFmt w:val="decimal"/>
      <w:pStyle w:val="pol2"/>
      <w:lvlText w:val="%1.%2."/>
      <w:lvlJc w:val="left"/>
      <w:pPr>
        <w:tabs>
          <w:tab w:val="num" w:pos="434"/>
        </w:tabs>
        <w:ind w:left="432" w:hanging="432"/>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D8538DB"/>
    <w:multiLevelType w:val="hybridMultilevel"/>
    <w:tmpl w:val="CC3A895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428551D"/>
    <w:multiLevelType w:val="multilevel"/>
    <w:tmpl w:val="3AE4CB2C"/>
    <w:lvl w:ilvl="0">
      <w:start w:val="1"/>
      <w:numFmt w:val="decimal"/>
      <w:pStyle w:val="Pol1"/>
      <w:lvlText w:val="%1."/>
      <w:lvlJc w:val="left"/>
      <w:pPr>
        <w:ind w:left="1778" w:hanging="360"/>
      </w:pPr>
      <w:rPr>
        <w:rFonts w:hint="default"/>
      </w:rPr>
    </w:lvl>
    <w:lvl w:ilvl="1">
      <w:start w:val="1"/>
      <w:numFmt w:val="decimal"/>
      <w:isLgl/>
      <w:lvlText w:val="%1.%2"/>
      <w:lvlJc w:val="left"/>
      <w:pPr>
        <w:ind w:left="1778" w:hanging="360"/>
      </w:pPr>
      <w:rPr>
        <w:rFonts w:hint="default"/>
        <w:b w:val="0"/>
        <w:bCs/>
        <w:i w:val="0"/>
        <w:iCs w:val="0"/>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4" w15:restartNumberingAfterBreak="0">
    <w:nsid w:val="257F3B1A"/>
    <w:multiLevelType w:val="hybridMultilevel"/>
    <w:tmpl w:val="110A1F98"/>
    <w:lvl w:ilvl="0" w:tplc="0809000B">
      <w:start w:val="1"/>
      <w:numFmt w:val="bullet"/>
      <w:lvlText w:val=""/>
      <w:lvlJc w:val="left"/>
      <w:pPr>
        <w:ind w:left="-26" w:hanging="360"/>
      </w:pPr>
      <w:rPr>
        <w:rFonts w:ascii="Wingdings" w:hAnsi="Wingdings" w:hint="default"/>
      </w:rPr>
    </w:lvl>
    <w:lvl w:ilvl="1" w:tplc="08090003" w:tentative="1">
      <w:start w:val="1"/>
      <w:numFmt w:val="bullet"/>
      <w:lvlText w:val="o"/>
      <w:lvlJc w:val="left"/>
      <w:pPr>
        <w:ind w:left="694" w:hanging="360"/>
      </w:pPr>
      <w:rPr>
        <w:rFonts w:ascii="Courier New" w:hAnsi="Courier New" w:cs="Courier New" w:hint="default"/>
      </w:rPr>
    </w:lvl>
    <w:lvl w:ilvl="2" w:tplc="08090005" w:tentative="1">
      <w:start w:val="1"/>
      <w:numFmt w:val="bullet"/>
      <w:lvlText w:val=""/>
      <w:lvlJc w:val="left"/>
      <w:pPr>
        <w:ind w:left="1414" w:hanging="360"/>
      </w:pPr>
      <w:rPr>
        <w:rFonts w:ascii="Wingdings" w:hAnsi="Wingdings" w:hint="default"/>
      </w:rPr>
    </w:lvl>
    <w:lvl w:ilvl="3" w:tplc="08090001" w:tentative="1">
      <w:start w:val="1"/>
      <w:numFmt w:val="bullet"/>
      <w:lvlText w:val=""/>
      <w:lvlJc w:val="left"/>
      <w:pPr>
        <w:ind w:left="2134" w:hanging="360"/>
      </w:pPr>
      <w:rPr>
        <w:rFonts w:ascii="Symbol" w:hAnsi="Symbol" w:hint="default"/>
      </w:rPr>
    </w:lvl>
    <w:lvl w:ilvl="4" w:tplc="08090003" w:tentative="1">
      <w:start w:val="1"/>
      <w:numFmt w:val="bullet"/>
      <w:lvlText w:val="o"/>
      <w:lvlJc w:val="left"/>
      <w:pPr>
        <w:ind w:left="2854" w:hanging="360"/>
      </w:pPr>
      <w:rPr>
        <w:rFonts w:ascii="Courier New" w:hAnsi="Courier New" w:cs="Courier New" w:hint="default"/>
      </w:rPr>
    </w:lvl>
    <w:lvl w:ilvl="5" w:tplc="08090005" w:tentative="1">
      <w:start w:val="1"/>
      <w:numFmt w:val="bullet"/>
      <w:lvlText w:val=""/>
      <w:lvlJc w:val="left"/>
      <w:pPr>
        <w:ind w:left="3574" w:hanging="360"/>
      </w:pPr>
      <w:rPr>
        <w:rFonts w:ascii="Wingdings" w:hAnsi="Wingdings" w:hint="default"/>
      </w:rPr>
    </w:lvl>
    <w:lvl w:ilvl="6" w:tplc="08090001" w:tentative="1">
      <w:start w:val="1"/>
      <w:numFmt w:val="bullet"/>
      <w:lvlText w:val=""/>
      <w:lvlJc w:val="left"/>
      <w:pPr>
        <w:ind w:left="4294" w:hanging="360"/>
      </w:pPr>
      <w:rPr>
        <w:rFonts w:ascii="Symbol" w:hAnsi="Symbol" w:hint="default"/>
      </w:rPr>
    </w:lvl>
    <w:lvl w:ilvl="7" w:tplc="08090003" w:tentative="1">
      <w:start w:val="1"/>
      <w:numFmt w:val="bullet"/>
      <w:lvlText w:val="o"/>
      <w:lvlJc w:val="left"/>
      <w:pPr>
        <w:ind w:left="5014" w:hanging="360"/>
      </w:pPr>
      <w:rPr>
        <w:rFonts w:ascii="Courier New" w:hAnsi="Courier New" w:cs="Courier New" w:hint="default"/>
      </w:rPr>
    </w:lvl>
    <w:lvl w:ilvl="8" w:tplc="08090005" w:tentative="1">
      <w:start w:val="1"/>
      <w:numFmt w:val="bullet"/>
      <w:lvlText w:val=""/>
      <w:lvlJc w:val="left"/>
      <w:pPr>
        <w:ind w:left="5734" w:hanging="360"/>
      </w:pPr>
      <w:rPr>
        <w:rFonts w:ascii="Wingdings" w:hAnsi="Wingdings" w:hint="default"/>
      </w:rPr>
    </w:lvl>
  </w:abstractNum>
  <w:abstractNum w:abstractNumId="5" w15:restartNumberingAfterBreak="0">
    <w:nsid w:val="26AB1DB7"/>
    <w:multiLevelType w:val="hybridMultilevel"/>
    <w:tmpl w:val="473E87EE"/>
    <w:lvl w:ilvl="0" w:tplc="0809000B">
      <w:start w:val="1"/>
      <w:numFmt w:val="bullet"/>
      <w:lvlText w:val=""/>
      <w:lvlJc w:val="left"/>
      <w:pPr>
        <w:ind w:left="-26" w:hanging="360"/>
      </w:pPr>
      <w:rPr>
        <w:rFonts w:ascii="Wingdings" w:hAnsi="Wingdings" w:hint="default"/>
      </w:rPr>
    </w:lvl>
    <w:lvl w:ilvl="1" w:tplc="FFFFFFFF" w:tentative="1">
      <w:start w:val="1"/>
      <w:numFmt w:val="bullet"/>
      <w:lvlText w:val="o"/>
      <w:lvlJc w:val="left"/>
      <w:pPr>
        <w:ind w:left="694" w:hanging="360"/>
      </w:pPr>
      <w:rPr>
        <w:rFonts w:ascii="Courier New" w:hAnsi="Courier New" w:cs="Courier New" w:hint="default"/>
      </w:rPr>
    </w:lvl>
    <w:lvl w:ilvl="2" w:tplc="FFFFFFFF" w:tentative="1">
      <w:start w:val="1"/>
      <w:numFmt w:val="bullet"/>
      <w:lvlText w:val=""/>
      <w:lvlJc w:val="left"/>
      <w:pPr>
        <w:ind w:left="1414" w:hanging="360"/>
      </w:pPr>
      <w:rPr>
        <w:rFonts w:ascii="Wingdings" w:hAnsi="Wingdings" w:hint="default"/>
      </w:rPr>
    </w:lvl>
    <w:lvl w:ilvl="3" w:tplc="FFFFFFFF" w:tentative="1">
      <w:start w:val="1"/>
      <w:numFmt w:val="bullet"/>
      <w:lvlText w:val=""/>
      <w:lvlJc w:val="left"/>
      <w:pPr>
        <w:ind w:left="2134" w:hanging="360"/>
      </w:pPr>
      <w:rPr>
        <w:rFonts w:ascii="Symbol" w:hAnsi="Symbol" w:hint="default"/>
      </w:rPr>
    </w:lvl>
    <w:lvl w:ilvl="4" w:tplc="FFFFFFFF" w:tentative="1">
      <w:start w:val="1"/>
      <w:numFmt w:val="bullet"/>
      <w:lvlText w:val="o"/>
      <w:lvlJc w:val="left"/>
      <w:pPr>
        <w:ind w:left="2854" w:hanging="360"/>
      </w:pPr>
      <w:rPr>
        <w:rFonts w:ascii="Courier New" w:hAnsi="Courier New" w:cs="Courier New" w:hint="default"/>
      </w:rPr>
    </w:lvl>
    <w:lvl w:ilvl="5" w:tplc="FFFFFFFF" w:tentative="1">
      <w:start w:val="1"/>
      <w:numFmt w:val="bullet"/>
      <w:lvlText w:val=""/>
      <w:lvlJc w:val="left"/>
      <w:pPr>
        <w:ind w:left="3574" w:hanging="360"/>
      </w:pPr>
      <w:rPr>
        <w:rFonts w:ascii="Wingdings" w:hAnsi="Wingdings" w:hint="default"/>
      </w:rPr>
    </w:lvl>
    <w:lvl w:ilvl="6" w:tplc="FFFFFFFF" w:tentative="1">
      <w:start w:val="1"/>
      <w:numFmt w:val="bullet"/>
      <w:lvlText w:val=""/>
      <w:lvlJc w:val="left"/>
      <w:pPr>
        <w:ind w:left="4294" w:hanging="360"/>
      </w:pPr>
      <w:rPr>
        <w:rFonts w:ascii="Symbol" w:hAnsi="Symbol" w:hint="default"/>
      </w:rPr>
    </w:lvl>
    <w:lvl w:ilvl="7" w:tplc="FFFFFFFF" w:tentative="1">
      <w:start w:val="1"/>
      <w:numFmt w:val="bullet"/>
      <w:lvlText w:val="o"/>
      <w:lvlJc w:val="left"/>
      <w:pPr>
        <w:ind w:left="5014" w:hanging="360"/>
      </w:pPr>
      <w:rPr>
        <w:rFonts w:ascii="Courier New" w:hAnsi="Courier New" w:cs="Courier New" w:hint="default"/>
      </w:rPr>
    </w:lvl>
    <w:lvl w:ilvl="8" w:tplc="FFFFFFFF" w:tentative="1">
      <w:start w:val="1"/>
      <w:numFmt w:val="bullet"/>
      <w:lvlText w:val=""/>
      <w:lvlJc w:val="left"/>
      <w:pPr>
        <w:ind w:left="5734" w:hanging="360"/>
      </w:pPr>
      <w:rPr>
        <w:rFonts w:ascii="Wingdings" w:hAnsi="Wingdings" w:hint="default"/>
      </w:rPr>
    </w:lvl>
  </w:abstractNum>
  <w:abstractNum w:abstractNumId="6" w15:restartNumberingAfterBreak="0">
    <w:nsid w:val="30B258CB"/>
    <w:multiLevelType w:val="hybridMultilevel"/>
    <w:tmpl w:val="72E09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78077F5"/>
    <w:multiLevelType w:val="hybridMultilevel"/>
    <w:tmpl w:val="A91C1DA4"/>
    <w:lvl w:ilvl="0" w:tplc="0809000B">
      <w:start w:val="1"/>
      <w:numFmt w:val="bullet"/>
      <w:lvlText w:val=""/>
      <w:lvlJc w:val="left"/>
      <w:pPr>
        <w:ind w:left="334" w:hanging="360"/>
      </w:pPr>
      <w:rPr>
        <w:rFonts w:ascii="Wingdings" w:hAnsi="Wingdings" w:hint="default"/>
      </w:rPr>
    </w:lvl>
    <w:lvl w:ilvl="1" w:tplc="08090003" w:tentative="1">
      <w:start w:val="1"/>
      <w:numFmt w:val="bullet"/>
      <w:lvlText w:val="o"/>
      <w:lvlJc w:val="left"/>
      <w:pPr>
        <w:ind w:left="1054" w:hanging="360"/>
      </w:pPr>
      <w:rPr>
        <w:rFonts w:ascii="Courier New" w:hAnsi="Courier New" w:cs="Courier New" w:hint="default"/>
      </w:rPr>
    </w:lvl>
    <w:lvl w:ilvl="2" w:tplc="08090005" w:tentative="1">
      <w:start w:val="1"/>
      <w:numFmt w:val="bullet"/>
      <w:lvlText w:val=""/>
      <w:lvlJc w:val="left"/>
      <w:pPr>
        <w:ind w:left="1774" w:hanging="360"/>
      </w:pPr>
      <w:rPr>
        <w:rFonts w:ascii="Wingdings" w:hAnsi="Wingdings" w:hint="default"/>
      </w:rPr>
    </w:lvl>
    <w:lvl w:ilvl="3" w:tplc="08090001" w:tentative="1">
      <w:start w:val="1"/>
      <w:numFmt w:val="bullet"/>
      <w:lvlText w:val=""/>
      <w:lvlJc w:val="left"/>
      <w:pPr>
        <w:ind w:left="2494" w:hanging="360"/>
      </w:pPr>
      <w:rPr>
        <w:rFonts w:ascii="Symbol" w:hAnsi="Symbol" w:hint="default"/>
      </w:rPr>
    </w:lvl>
    <w:lvl w:ilvl="4" w:tplc="08090003" w:tentative="1">
      <w:start w:val="1"/>
      <w:numFmt w:val="bullet"/>
      <w:lvlText w:val="o"/>
      <w:lvlJc w:val="left"/>
      <w:pPr>
        <w:ind w:left="3214" w:hanging="360"/>
      </w:pPr>
      <w:rPr>
        <w:rFonts w:ascii="Courier New" w:hAnsi="Courier New" w:cs="Courier New" w:hint="default"/>
      </w:rPr>
    </w:lvl>
    <w:lvl w:ilvl="5" w:tplc="08090005" w:tentative="1">
      <w:start w:val="1"/>
      <w:numFmt w:val="bullet"/>
      <w:lvlText w:val=""/>
      <w:lvlJc w:val="left"/>
      <w:pPr>
        <w:ind w:left="3934" w:hanging="360"/>
      </w:pPr>
      <w:rPr>
        <w:rFonts w:ascii="Wingdings" w:hAnsi="Wingdings" w:hint="default"/>
      </w:rPr>
    </w:lvl>
    <w:lvl w:ilvl="6" w:tplc="08090001" w:tentative="1">
      <w:start w:val="1"/>
      <w:numFmt w:val="bullet"/>
      <w:lvlText w:val=""/>
      <w:lvlJc w:val="left"/>
      <w:pPr>
        <w:ind w:left="4654" w:hanging="360"/>
      </w:pPr>
      <w:rPr>
        <w:rFonts w:ascii="Symbol" w:hAnsi="Symbol" w:hint="default"/>
      </w:rPr>
    </w:lvl>
    <w:lvl w:ilvl="7" w:tplc="08090003" w:tentative="1">
      <w:start w:val="1"/>
      <w:numFmt w:val="bullet"/>
      <w:lvlText w:val="o"/>
      <w:lvlJc w:val="left"/>
      <w:pPr>
        <w:ind w:left="5374" w:hanging="360"/>
      </w:pPr>
      <w:rPr>
        <w:rFonts w:ascii="Courier New" w:hAnsi="Courier New" w:cs="Courier New" w:hint="default"/>
      </w:rPr>
    </w:lvl>
    <w:lvl w:ilvl="8" w:tplc="08090005" w:tentative="1">
      <w:start w:val="1"/>
      <w:numFmt w:val="bullet"/>
      <w:lvlText w:val=""/>
      <w:lvlJc w:val="left"/>
      <w:pPr>
        <w:ind w:left="6094" w:hanging="360"/>
      </w:pPr>
      <w:rPr>
        <w:rFonts w:ascii="Wingdings" w:hAnsi="Wingdings" w:hint="default"/>
      </w:rPr>
    </w:lvl>
  </w:abstractNum>
  <w:abstractNum w:abstractNumId="8" w15:restartNumberingAfterBreak="0">
    <w:nsid w:val="3D146AFE"/>
    <w:multiLevelType w:val="hybridMultilevel"/>
    <w:tmpl w:val="A71A3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6D483E"/>
    <w:multiLevelType w:val="hybridMultilevel"/>
    <w:tmpl w:val="6E341C06"/>
    <w:lvl w:ilvl="0" w:tplc="0809000B">
      <w:start w:val="1"/>
      <w:numFmt w:val="bullet"/>
      <w:lvlText w:val=""/>
      <w:lvlJc w:val="left"/>
      <w:pPr>
        <w:ind w:left="6" w:hanging="360"/>
      </w:pPr>
      <w:rPr>
        <w:rFonts w:ascii="Wingdings" w:hAnsi="Wingdings"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10" w15:restartNumberingAfterBreak="0">
    <w:nsid w:val="421975F8"/>
    <w:multiLevelType w:val="hybridMultilevel"/>
    <w:tmpl w:val="B9881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D4610B"/>
    <w:multiLevelType w:val="hybridMultilevel"/>
    <w:tmpl w:val="AC4C8922"/>
    <w:lvl w:ilvl="0" w:tplc="0809000B">
      <w:start w:val="1"/>
      <w:numFmt w:val="bullet"/>
      <w:lvlText w:val=""/>
      <w:lvlJc w:val="left"/>
      <w:pPr>
        <w:ind w:left="-372" w:hanging="360"/>
      </w:pPr>
      <w:rPr>
        <w:rFonts w:ascii="Wingdings" w:hAnsi="Wingdings" w:hint="default"/>
      </w:rPr>
    </w:lvl>
    <w:lvl w:ilvl="1" w:tplc="FFFFFFFF">
      <w:start w:val="1"/>
      <w:numFmt w:val="bullet"/>
      <w:lvlText w:val="o"/>
      <w:lvlJc w:val="left"/>
      <w:pPr>
        <w:ind w:left="348" w:hanging="360"/>
      </w:pPr>
      <w:rPr>
        <w:rFonts w:ascii="Courier New" w:hAnsi="Courier New" w:cs="Courier New" w:hint="default"/>
      </w:rPr>
    </w:lvl>
    <w:lvl w:ilvl="2" w:tplc="FFFFFFFF" w:tentative="1">
      <w:start w:val="1"/>
      <w:numFmt w:val="bullet"/>
      <w:lvlText w:val=""/>
      <w:lvlJc w:val="left"/>
      <w:pPr>
        <w:ind w:left="1068" w:hanging="360"/>
      </w:pPr>
      <w:rPr>
        <w:rFonts w:ascii="Wingdings" w:hAnsi="Wingdings" w:hint="default"/>
      </w:rPr>
    </w:lvl>
    <w:lvl w:ilvl="3" w:tplc="FFFFFFFF" w:tentative="1">
      <w:start w:val="1"/>
      <w:numFmt w:val="bullet"/>
      <w:lvlText w:val=""/>
      <w:lvlJc w:val="left"/>
      <w:pPr>
        <w:ind w:left="1788" w:hanging="360"/>
      </w:pPr>
      <w:rPr>
        <w:rFonts w:ascii="Symbol" w:hAnsi="Symbol" w:hint="default"/>
      </w:rPr>
    </w:lvl>
    <w:lvl w:ilvl="4" w:tplc="FFFFFFFF" w:tentative="1">
      <w:start w:val="1"/>
      <w:numFmt w:val="bullet"/>
      <w:lvlText w:val="o"/>
      <w:lvlJc w:val="left"/>
      <w:pPr>
        <w:ind w:left="2508" w:hanging="360"/>
      </w:pPr>
      <w:rPr>
        <w:rFonts w:ascii="Courier New" w:hAnsi="Courier New" w:cs="Courier New" w:hint="default"/>
      </w:rPr>
    </w:lvl>
    <w:lvl w:ilvl="5" w:tplc="FFFFFFFF" w:tentative="1">
      <w:start w:val="1"/>
      <w:numFmt w:val="bullet"/>
      <w:lvlText w:val=""/>
      <w:lvlJc w:val="left"/>
      <w:pPr>
        <w:ind w:left="3228" w:hanging="360"/>
      </w:pPr>
      <w:rPr>
        <w:rFonts w:ascii="Wingdings" w:hAnsi="Wingdings" w:hint="default"/>
      </w:rPr>
    </w:lvl>
    <w:lvl w:ilvl="6" w:tplc="FFFFFFFF" w:tentative="1">
      <w:start w:val="1"/>
      <w:numFmt w:val="bullet"/>
      <w:lvlText w:val=""/>
      <w:lvlJc w:val="left"/>
      <w:pPr>
        <w:ind w:left="3948" w:hanging="360"/>
      </w:pPr>
      <w:rPr>
        <w:rFonts w:ascii="Symbol" w:hAnsi="Symbol" w:hint="default"/>
      </w:rPr>
    </w:lvl>
    <w:lvl w:ilvl="7" w:tplc="FFFFFFFF" w:tentative="1">
      <w:start w:val="1"/>
      <w:numFmt w:val="bullet"/>
      <w:lvlText w:val="o"/>
      <w:lvlJc w:val="left"/>
      <w:pPr>
        <w:ind w:left="4668" w:hanging="360"/>
      </w:pPr>
      <w:rPr>
        <w:rFonts w:ascii="Courier New" w:hAnsi="Courier New" w:cs="Courier New" w:hint="default"/>
      </w:rPr>
    </w:lvl>
    <w:lvl w:ilvl="8" w:tplc="FFFFFFFF" w:tentative="1">
      <w:start w:val="1"/>
      <w:numFmt w:val="bullet"/>
      <w:lvlText w:val=""/>
      <w:lvlJc w:val="left"/>
      <w:pPr>
        <w:ind w:left="5388" w:hanging="360"/>
      </w:pPr>
      <w:rPr>
        <w:rFonts w:ascii="Wingdings" w:hAnsi="Wingdings" w:hint="default"/>
      </w:rPr>
    </w:lvl>
  </w:abstractNum>
  <w:abstractNum w:abstractNumId="12" w15:restartNumberingAfterBreak="0">
    <w:nsid w:val="4F497A8E"/>
    <w:multiLevelType w:val="hybridMultilevel"/>
    <w:tmpl w:val="B4FCAC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6D2E1E"/>
    <w:multiLevelType w:val="hybridMultilevel"/>
    <w:tmpl w:val="2F620808"/>
    <w:lvl w:ilvl="0" w:tplc="0809000B">
      <w:start w:val="1"/>
      <w:numFmt w:val="bullet"/>
      <w:lvlText w:val=""/>
      <w:lvlJc w:val="left"/>
      <w:pPr>
        <w:ind w:left="-26" w:hanging="360"/>
      </w:pPr>
      <w:rPr>
        <w:rFonts w:ascii="Wingdings" w:hAnsi="Wingdings" w:hint="default"/>
      </w:rPr>
    </w:lvl>
    <w:lvl w:ilvl="1" w:tplc="FFFFFFFF" w:tentative="1">
      <w:start w:val="1"/>
      <w:numFmt w:val="bullet"/>
      <w:lvlText w:val="o"/>
      <w:lvlJc w:val="left"/>
      <w:pPr>
        <w:ind w:left="694" w:hanging="360"/>
      </w:pPr>
      <w:rPr>
        <w:rFonts w:ascii="Courier New" w:hAnsi="Courier New" w:cs="Courier New" w:hint="default"/>
      </w:rPr>
    </w:lvl>
    <w:lvl w:ilvl="2" w:tplc="FFFFFFFF" w:tentative="1">
      <w:start w:val="1"/>
      <w:numFmt w:val="bullet"/>
      <w:lvlText w:val=""/>
      <w:lvlJc w:val="left"/>
      <w:pPr>
        <w:ind w:left="1414" w:hanging="360"/>
      </w:pPr>
      <w:rPr>
        <w:rFonts w:ascii="Wingdings" w:hAnsi="Wingdings" w:hint="default"/>
      </w:rPr>
    </w:lvl>
    <w:lvl w:ilvl="3" w:tplc="FFFFFFFF" w:tentative="1">
      <w:start w:val="1"/>
      <w:numFmt w:val="bullet"/>
      <w:lvlText w:val=""/>
      <w:lvlJc w:val="left"/>
      <w:pPr>
        <w:ind w:left="2134" w:hanging="360"/>
      </w:pPr>
      <w:rPr>
        <w:rFonts w:ascii="Symbol" w:hAnsi="Symbol" w:hint="default"/>
      </w:rPr>
    </w:lvl>
    <w:lvl w:ilvl="4" w:tplc="FFFFFFFF" w:tentative="1">
      <w:start w:val="1"/>
      <w:numFmt w:val="bullet"/>
      <w:lvlText w:val="o"/>
      <w:lvlJc w:val="left"/>
      <w:pPr>
        <w:ind w:left="2854" w:hanging="360"/>
      </w:pPr>
      <w:rPr>
        <w:rFonts w:ascii="Courier New" w:hAnsi="Courier New" w:cs="Courier New" w:hint="default"/>
      </w:rPr>
    </w:lvl>
    <w:lvl w:ilvl="5" w:tplc="FFFFFFFF" w:tentative="1">
      <w:start w:val="1"/>
      <w:numFmt w:val="bullet"/>
      <w:lvlText w:val=""/>
      <w:lvlJc w:val="left"/>
      <w:pPr>
        <w:ind w:left="3574" w:hanging="360"/>
      </w:pPr>
      <w:rPr>
        <w:rFonts w:ascii="Wingdings" w:hAnsi="Wingdings" w:hint="default"/>
      </w:rPr>
    </w:lvl>
    <w:lvl w:ilvl="6" w:tplc="FFFFFFFF" w:tentative="1">
      <w:start w:val="1"/>
      <w:numFmt w:val="bullet"/>
      <w:lvlText w:val=""/>
      <w:lvlJc w:val="left"/>
      <w:pPr>
        <w:ind w:left="4294" w:hanging="360"/>
      </w:pPr>
      <w:rPr>
        <w:rFonts w:ascii="Symbol" w:hAnsi="Symbol" w:hint="default"/>
      </w:rPr>
    </w:lvl>
    <w:lvl w:ilvl="7" w:tplc="FFFFFFFF" w:tentative="1">
      <w:start w:val="1"/>
      <w:numFmt w:val="bullet"/>
      <w:lvlText w:val="o"/>
      <w:lvlJc w:val="left"/>
      <w:pPr>
        <w:ind w:left="5014" w:hanging="360"/>
      </w:pPr>
      <w:rPr>
        <w:rFonts w:ascii="Courier New" w:hAnsi="Courier New" w:cs="Courier New" w:hint="default"/>
      </w:rPr>
    </w:lvl>
    <w:lvl w:ilvl="8" w:tplc="FFFFFFFF" w:tentative="1">
      <w:start w:val="1"/>
      <w:numFmt w:val="bullet"/>
      <w:lvlText w:val=""/>
      <w:lvlJc w:val="left"/>
      <w:pPr>
        <w:ind w:left="5734" w:hanging="360"/>
      </w:pPr>
      <w:rPr>
        <w:rFonts w:ascii="Wingdings" w:hAnsi="Wingdings" w:hint="default"/>
      </w:rPr>
    </w:lvl>
  </w:abstractNum>
  <w:num w:numId="1" w16cid:durableId="2032951614">
    <w:abstractNumId w:val="0"/>
  </w:num>
  <w:num w:numId="2" w16cid:durableId="829903065">
    <w:abstractNumId w:val="8"/>
  </w:num>
  <w:num w:numId="3" w16cid:durableId="1237937983">
    <w:abstractNumId w:val="4"/>
  </w:num>
  <w:num w:numId="4" w16cid:durableId="425924009">
    <w:abstractNumId w:val="9"/>
  </w:num>
  <w:num w:numId="5" w16cid:durableId="371729134">
    <w:abstractNumId w:val="10"/>
  </w:num>
  <w:num w:numId="6" w16cid:durableId="699204167">
    <w:abstractNumId w:val="6"/>
  </w:num>
  <w:num w:numId="7" w16cid:durableId="951978635">
    <w:abstractNumId w:val="5"/>
  </w:num>
  <w:num w:numId="8" w16cid:durableId="1810125799">
    <w:abstractNumId w:val="13"/>
  </w:num>
  <w:num w:numId="9" w16cid:durableId="1071002051">
    <w:abstractNumId w:val="7"/>
  </w:num>
  <w:num w:numId="10" w16cid:durableId="642081123">
    <w:abstractNumId w:val="12"/>
  </w:num>
  <w:num w:numId="11" w16cid:durableId="897285500">
    <w:abstractNumId w:val="11"/>
  </w:num>
  <w:num w:numId="12" w16cid:durableId="466430708">
    <w:abstractNumId w:val="3"/>
  </w:num>
  <w:num w:numId="13" w16cid:durableId="1474561488">
    <w:abstractNumId w:val="1"/>
  </w:num>
  <w:num w:numId="14" w16cid:durableId="902984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193"/>
    <w:rsid w:val="00032DAE"/>
    <w:rsid w:val="000B6193"/>
    <w:rsid w:val="000C72C4"/>
    <w:rsid w:val="000F2AEA"/>
    <w:rsid w:val="00192F01"/>
    <w:rsid w:val="001B64E6"/>
    <w:rsid w:val="001E04E6"/>
    <w:rsid w:val="0023440F"/>
    <w:rsid w:val="00255741"/>
    <w:rsid w:val="0027439B"/>
    <w:rsid w:val="003045C6"/>
    <w:rsid w:val="00327A32"/>
    <w:rsid w:val="003A3084"/>
    <w:rsid w:val="00430C70"/>
    <w:rsid w:val="004D39E1"/>
    <w:rsid w:val="004D50FC"/>
    <w:rsid w:val="005116FF"/>
    <w:rsid w:val="0052520F"/>
    <w:rsid w:val="005F39A8"/>
    <w:rsid w:val="0064291C"/>
    <w:rsid w:val="00651EE7"/>
    <w:rsid w:val="00717D88"/>
    <w:rsid w:val="00722A07"/>
    <w:rsid w:val="0081112E"/>
    <w:rsid w:val="0089380F"/>
    <w:rsid w:val="008F6C60"/>
    <w:rsid w:val="009F6F1B"/>
    <w:rsid w:val="00A52DCB"/>
    <w:rsid w:val="00AF50EB"/>
    <w:rsid w:val="00B06B00"/>
    <w:rsid w:val="00B43858"/>
    <w:rsid w:val="00B960AD"/>
    <w:rsid w:val="00BD729E"/>
    <w:rsid w:val="00D27F6A"/>
    <w:rsid w:val="00E746BA"/>
    <w:rsid w:val="00E9143B"/>
    <w:rsid w:val="00ED5FAD"/>
    <w:rsid w:val="00F25458"/>
    <w:rsid w:val="00F36539"/>
    <w:rsid w:val="00F51100"/>
    <w:rsid w:val="00F52CF9"/>
    <w:rsid w:val="00FF62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C7DC86F"/>
  <w15:chartTrackingRefBased/>
  <w15:docId w15:val="{CAEF9386-4845-4381-97B8-21759E859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Pol1"/>
    <w:next w:val="Normal"/>
    <w:link w:val="Heading3Char"/>
    <w:uiPriority w:val="1"/>
    <w:qFormat/>
    <w:rsid w:val="003A3084"/>
    <w:pPr>
      <w:numPr>
        <w:numId w:val="13"/>
      </w:numPr>
      <w:ind w:left="851" w:hanging="851"/>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AR table"/>
    <w:basedOn w:val="TableNormal"/>
    <w:uiPriority w:val="59"/>
    <w:rsid w:val="000B6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61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193"/>
  </w:style>
  <w:style w:type="paragraph" w:styleId="Footer">
    <w:name w:val="footer"/>
    <w:basedOn w:val="Normal"/>
    <w:link w:val="FooterChar"/>
    <w:uiPriority w:val="99"/>
    <w:unhideWhenUsed/>
    <w:rsid w:val="000B61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193"/>
  </w:style>
  <w:style w:type="table" w:styleId="GridTable5Dark-Accent1">
    <w:name w:val="Grid Table 5 Dark Accent 1"/>
    <w:basedOn w:val="TableNormal"/>
    <w:uiPriority w:val="50"/>
    <w:rsid w:val="005116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Bulle"/>
    <w:basedOn w:val="Normal"/>
    <w:link w:val="ListParagraphChar"/>
    <w:uiPriority w:val="34"/>
    <w:qFormat/>
    <w:rsid w:val="005116FF"/>
    <w:pPr>
      <w:ind w:left="720"/>
      <w:contextualSpacing/>
    </w:pPr>
  </w:style>
  <w:style w:type="character" w:styleId="Hyperlink">
    <w:name w:val="Hyperlink"/>
    <w:basedOn w:val="DefaultParagraphFont"/>
    <w:uiPriority w:val="99"/>
    <w:unhideWhenUsed/>
    <w:rsid w:val="00B06B00"/>
    <w:rPr>
      <w:color w:val="0000FF" w:themeColor="hyperlink"/>
      <w:u w:val="single"/>
    </w:rPr>
  </w:style>
  <w:style w:type="character" w:styleId="UnresolvedMention">
    <w:name w:val="Unresolved Mention"/>
    <w:basedOn w:val="DefaultParagraphFont"/>
    <w:uiPriority w:val="99"/>
    <w:semiHidden/>
    <w:unhideWhenUsed/>
    <w:rsid w:val="00B06B00"/>
    <w:rPr>
      <w:color w:val="605E5C"/>
      <w:shd w:val="clear" w:color="auto" w:fill="E1DFDD"/>
    </w:rPr>
  </w:style>
  <w:style w:type="character" w:styleId="FollowedHyperlink">
    <w:name w:val="FollowedHyperlink"/>
    <w:basedOn w:val="DefaultParagraphFont"/>
    <w:uiPriority w:val="99"/>
    <w:semiHidden/>
    <w:unhideWhenUsed/>
    <w:rsid w:val="00717D88"/>
    <w:rPr>
      <w:color w:val="800080" w:themeColor="followedHyperlink"/>
      <w:u w:val="singl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34"/>
    <w:qFormat/>
    <w:rsid w:val="00E746BA"/>
  </w:style>
  <w:style w:type="paragraph" w:styleId="FootnoteText">
    <w:name w:val="footnote text"/>
    <w:basedOn w:val="Normal"/>
    <w:link w:val="FootnoteTextChar"/>
    <w:uiPriority w:val="99"/>
    <w:semiHidden/>
    <w:unhideWhenUsed/>
    <w:rsid w:val="00E746BA"/>
    <w:pPr>
      <w:spacing w:after="0"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semiHidden/>
    <w:rsid w:val="00E746BA"/>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E746BA"/>
    <w:rPr>
      <w:vertAlign w:val="superscript"/>
    </w:rPr>
  </w:style>
  <w:style w:type="paragraph" w:customStyle="1" w:styleId="Normalbold">
    <w:name w:val="Normal bold"/>
    <w:basedOn w:val="Normal"/>
    <w:rsid w:val="00192F01"/>
    <w:pPr>
      <w:spacing w:before="60" w:after="60"/>
    </w:pPr>
    <w:rPr>
      <w:rFonts w:ascii="Arial Bold" w:eastAsia="Times New Roman" w:hAnsi="Arial Bold" w:cs="Times New Roman"/>
      <w:b/>
      <w:sz w:val="24"/>
      <w:szCs w:val="20"/>
    </w:rPr>
  </w:style>
  <w:style w:type="paragraph" w:customStyle="1" w:styleId="Pol1">
    <w:name w:val="Pol1"/>
    <w:basedOn w:val="Normal"/>
    <w:qFormat/>
    <w:rsid w:val="00032DAE"/>
    <w:pPr>
      <w:numPr>
        <w:numId w:val="12"/>
      </w:numPr>
      <w:autoSpaceDE w:val="0"/>
      <w:autoSpaceDN w:val="0"/>
      <w:adjustRightInd w:val="0"/>
      <w:spacing w:after="120"/>
      <w:jc w:val="both"/>
    </w:pPr>
    <w:rPr>
      <w:rFonts w:ascii="Arial Bold" w:eastAsia="Times New Roman" w:hAnsi="Arial Bold" w:cs="Arial"/>
      <w:b/>
      <w:bCs/>
      <w:sz w:val="28"/>
      <w:lang w:eastAsia="en-GB"/>
    </w:rPr>
  </w:style>
  <w:style w:type="paragraph" w:customStyle="1" w:styleId="pol2">
    <w:name w:val="pol2"/>
    <w:basedOn w:val="Normal"/>
    <w:link w:val="pol2Char"/>
    <w:qFormat/>
    <w:rsid w:val="00032DAE"/>
    <w:pPr>
      <w:numPr>
        <w:ilvl w:val="1"/>
        <w:numId w:val="13"/>
      </w:numPr>
      <w:spacing w:after="120"/>
    </w:pPr>
    <w:rPr>
      <w:rFonts w:ascii="Arial" w:eastAsia="Times New Roman" w:hAnsi="Arial" w:cs="Times New Roman"/>
      <w:sz w:val="24"/>
      <w:szCs w:val="24"/>
      <w:lang w:eastAsia="en-GB"/>
    </w:rPr>
  </w:style>
  <w:style w:type="character" w:customStyle="1" w:styleId="pol2Char">
    <w:name w:val="pol2 Char"/>
    <w:basedOn w:val="DefaultParagraphFont"/>
    <w:link w:val="pol2"/>
    <w:rsid w:val="00032DAE"/>
    <w:rPr>
      <w:rFonts w:ascii="Arial" w:eastAsia="Times New Roman" w:hAnsi="Arial" w:cs="Times New Roman"/>
      <w:sz w:val="24"/>
      <w:szCs w:val="24"/>
      <w:lang w:eastAsia="en-GB"/>
    </w:rPr>
  </w:style>
  <w:style w:type="character" w:customStyle="1" w:styleId="Heading3Char">
    <w:name w:val="Heading 3 Char"/>
    <w:basedOn w:val="DefaultParagraphFont"/>
    <w:link w:val="Heading3"/>
    <w:uiPriority w:val="1"/>
    <w:rsid w:val="003A3084"/>
    <w:rPr>
      <w:rFonts w:ascii="Arial Bold" w:eastAsia="Times New Roman" w:hAnsi="Arial Bold" w:cs="Arial"/>
      <w:b/>
      <w:bCs/>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nicb-nn.dln.committees@nhs.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inedupcarederbyshire.co.uk/derbyshire-integrated-care-board/"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joinedupcarederbyshire.co.uk/derbyshire-integrated-care-board/conflicts-of-interes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B xmlns="147cc1f4-f883-49a2-8a87-b5cef5084922" xsi:nil="true"/>
    <DocumentTypr xmlns="147cc1f4-f883-49a2-8a87-b5cef50849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32AC0CE4D55E42A97EED309ABF1294" ma:contentTypeVersion="5" ma:contentTypeDescription="Create a new document." ma:contentTypeScope="" ma:versionID="5ba5c2db5f3513e90cbaddd89c66891e">
  <xsd:schema xmlns:xsd="http://www.w3.org/2001/XMLSchema" xmlns:xs="http://www.w3.org/2001/XMLSchema" xmlns:p="http://schemas.microsoft.com/office/2006/metadata/properties" xmlns:ns2="147cc1f4-f883-49a2-8a87-b5cef5084922" targetNamespace="http://schemas.microsoft.com/office/2006/metadata/properties" ma:root="true" ma:fieldsID="591cbc6443d8551b1e557d34c23aad71" ns2:_="">
    <xsd:import namespace="147cc1f4-f883-49a2-8a87-b5cef50849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ICB" minOccurs="0"/>
                <xsd:element ref="ns2:DocumentTyp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cc1f4-f883-49a2-8a87-b5cef50849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ICB" ma:index="11" nillable="true" ma:displayName="ICB" ma:format="Dropdown" ma:internalName="ICB">
      <xsd:simpleType>
        <xsd:union memberTypes="dms:Text">
          <xsd:simpleType>
            <xsd:restriction base="dms:Choice">
              <xsd:enumeration value="NN"/>
              <xsd:enumeration value="DD"/>
              <xsd:enumeration value="Lincs"/>
              <xsd:enumeration value="All"/>
            </xsd:restriction>
          </xsd:simpleType>
        </xsd:union>
      </xsd:simpleType>
    </xsd:element>
    <xsd:element name="DocumentTypr" ma:index="12" nillable="true" ma:displayName="Document Type" ma:format="Dropdown" ma:internalName="DocumentTypr">
      <xsd:simpleType>
        <xsd:union memberTypes="dms:Text">
          <xsd:simpleType>
            <xsd:restriction base="dms:Choice">
              <xsd:enumeration value="Policy"/>
              <xsd:enumeration value="Transition Process"/>
              <xsd:enumeration value="Risk Register"/>
              <xsd:enumeration value="Board Assurance Framework"/>
              <xsd:enumeration value="Report Example"/>
              <xsd:enumeration value="Comms"/>
              <xsd:enumeration value="Training"/>
              <xsd:enumeration value="Meeting"/>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AACCC5-2747-43A5-BC0B-0D6996F51952}">
  <ds:schemaRefs>
    <ds:schemaRef ds:uri="http://schemas.microsoft.com/office/2006/metadata/properties"/>
    <ds:schemaRef ds:uri="http://schemas.microsoft.com/office/infopath/2007/PartnerControls"/>
    <ds:schemaRef ds:uri="147cc1f4-f883-49a2-8a87-b5cef5084922"/>
  </ds:schemaRefs>
</ds:datastoreItem>
</file>

<file path=customXml/itemProps2.xml><?xml version="1.0" encoding="utf-8"?>
<ds:datastoreItem xmlns:ds="http://schemas.openxmlformats.org/officeDocument/2006/customXml" ds:itemID="{E3838F2C-786A-4746-82D6-CE82EF9A0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cc1f4-f883-49a2-8a87-b5cef5084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595FBC-35F2-4439-BB14-6DE6A6641C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1663</Words>
  <Characters>9064</Characters>
  <Application>Microsoft Office Word</Application>
  <DocSecurity>0</DocSecurity>
  <Lines>197</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GASCOIGNE, Sian (NHS NOTTINGHAM AND NOTTINGHAMSHIRE ICB - 52R)</dc:creator>
  <cp:keywords/>
  <dc:description/>
  <cp:lastModifiedBy>PALMER, Frances (NHS DERBY AND DERBYSHIRE ICB - 15M)</cp:lastModifiedBy>
  <cp:revision>3</cp:revision>
  <dcterms:created xsi:type="dcterms:W3CDTF">2026-01-16T09:05:00Z</dcterms:created>
  <dcterms:modified xsi:type="dcterms:W3CDTF">2026-01-16T09:09:00Z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0x0101008732AC0CE4D55E42A97EED309ABF1294</vt:lpwstr>
  </property>
</Properties>
</file>